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Текстовая часть доклада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Кондрашова Алексея Олеговича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 достигнутых значениях показателей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органов местного самоуправления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муниципального района за 202</w:t>
      </w:r>
      <w:r w:rsidRPr="00FB2CC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(отчётный) год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и их планируемых значениях на </w:t>
      </w:r>
      <w:r w:rsidR="006048CA">
        <w:rPr>
          <w:rFonts w:ascii="Times New Roman" w:hAnsi="Times New Roman" w:cs="Times New Roman"/>
          <w:sz w:val="24"/>
          <w:szCs w:val="24"/>
          <w:lang w:val="en-US"/>
        </w:rPr>
        <w:t>3-</w:t>
      </w:r>
      <w:r w:rsidR="006048CA">
        <w:rPr>
          <w:rFonts w:ascii="Times New Roman" w:hAnsi="Times New Roman" w:cs="Times New Roman"/>
          <w:sz w:val="24"/>
          <w:szCs w:val="24"/>
        </w:rPr>
        <w:t>х</w:t>
      </w:r>
      <w:r w:rsidRPr="003A1787">
        <w:rPr>
          <w:rFonts w:ascii="Times New Roman" w:hAnsi="Times New Roman" w:cs="Times New Roman"/>
          <w:sz w:val="24"/>
          <w:szCs w:val="24"/>
        </w:rPr>
        <w:t xml:space="preserve"> летний период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1. Основные сведения о муниципальном районе (городском округе) и органах местного самоуправления муниципального района (городского округа)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2CC1" w:rsidRPr="003A1787" w:rsidRDefault="00FB2CC1" w:rsidP="00FB2CC1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B2CC1" w:rsidRPr="006048CA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1.1. Областной закон (областные законы), которым (которыми) образовано муниципальное образование (установлены границы, присвоен соответствующий статус, определены административный центр и перечень поселений, входящих в состав муниципального района).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Областной закон от 24 декабря 2004 года № 117-оз «О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1.2. Административный центр муниципального образования:</w:t>
      </w:r>
    </w:p>
    <w:p w:rsidR="00FB2CC1" w:rsidRPr="00617259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59">
        <w:rPr>
          <w:rFonts w:ascii="Times New Roman" w:hAnsi="Times New Roman" w:cs="Times New Roman"/>
          <w:b/>
          <w:sz w:val="24"/>
          <w:szCs w:val="24"/>
        </w:rPr>
        <w:t>Санкт-Петербург, город Ломоносов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Местом нахождения органов местного самоуправления Ломоносовского муниципального района установлен город Ломоносов, который не входит в состав Ленинградской области - находится в границах города федерального значения Санкт-Петербург.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1.3. Число городских и сельских поселений, входящих в состав муниципального района.</w:t>
      </w:r>
    </w:p>
    <w:p w:rsidR="00FB2CC1" w:rsidRPr="00617259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59">
        <w:rPr>
          <w:rFonts w:ascii="Times New Roman" w:hAnsi="Times New Roman" w:cs="Times New Roman"/>
          <w:b/>
          <w:sz w:val="24"/>
          <w:szCs w:val="24"/>
        </w:rPr>
        <w:t>4 городских поселения и 11 сельских поселений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1.4. Сведения о преобразованиях муниципального района (городского округа) и поселений в его составе, принятых областными законами после 2005 года.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Закон Ленинградской области от 06.02.2017 № 1-оз «О внесении изменения в статью 1 областного закона "О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1.5. Площадь муниципального образования по состоянию на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года- 1919 кв.км.</w:t>
      </w:r>
    </w:p>
    <w:p w:rsidR="00FB2CC1" w:rsidRPr="00586859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6859">
        <w:rPr>
          <w:rFonts w:ascii="Times New Roman" w:hAnsi="Times New Roman" w:cs="Times New Roman"/>
          <w:sz w:val="24"/>
          <w:szCs w:val="24"/>
        </w:rPr>
        <w:t>1.6. Население муниципального образования по состоянию на 31 декабря 2021 года составляет 81,8 тыс</w:t>
      </w:r>
      <w:proofErr w:type="gramStart"/>
      <w:r w:rsidRPr="005868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86859">
        <w:rPr>
          <w:rFonts w:ascii="Times New Roman" w:hAnsi="Times New Roman" w:cs="Times New Roman"/>
          <w:sz w:val="24"/>
          <w:szCs w:val="24"/>
        </w:rPr>
        <w:t>ел., в том числе проживают в сельской местности 77% или 63,1 тыс.чел.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1.7. Формирование представительного органа муниципального образования - из числа представителей поселений муниципального района,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дата проведения выборов действующего состава представительного органа (08.09.2019 г.) и срок его полномочий - 5 лет,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число депутатов представительного органа: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согласно уставу муниципального образования – </w:t>
      </w:r>
      <w:r w:rsidRPr="00C15A58">
        <w:rPr>
          <w:rFonts w:ascii="Times New Roman" w:hAnsi="Times New Roman" w:cs="Times New Roman"/>
          <w:sz w:val="24"/>
          <w:szCs w:val="24"/>
        </w:rPr>
        <w:t>30 депутатов,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816">
        <w:rPr>
          <w:rFonts w:ascii="Times New Roman" w:hAnsi="Times New Roman" w:cs="Times New Roman"/>
          <w:sz w:val="24"/>
          <w:szCs w:val="24"/>
        </w:rPr>
        <w:t>фактически по состоянию на 31 декабря отчётного года – 30 депутатов.</w:t>
      </w:r>
    </w:p>
    <w:p w:rsidR="00FB2CC1" w:rsidRPr="00FB2CC1" w:rsidRDefault="00FB2CC1" w:rsidP="00FB2CC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B2CC1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FB2CC1">
        <w:rPr>
          <w:rFonts w:ascii="Times New Roman" w:hAnsi="Times New Roman"/>
          <w:sz w:val="24"/>
          <w:szCs w:val="24"/>
        </w:rPr>
        <w:t xml:space="preserve">В 2021 году возглавлял местную администрацию Кондрашов Алексей Олегович, назначен на должность Главы администрации муниципального образования Ломоносовский муниципальный район Ленинградской области с 18 января 2021 года на основании решения Совета депутатов муниципального образования Ломоносовский муниципальный район Ленинградской области от 14.01.2021 №3 «О назначении кандидата на должность главы администрации МО Ломоносовский муниципальный </w:t>
      </w:r>
      <w:r w:rsidRPr="00FB2CC1">
        <w:rPr>
          <w:rFonts w:ascii="Times New Roman" w:hAnsi="Times New Roman"/>
          <w:sz w:val="24"/>
          <w:szCs w:val="24"/>
        </w:rPr>
        <w:lastRenderedPageBreak/>
        <w:t>район» с заключением контракта на срок полномочий Совета депутатов</w:t>
      </w:r>
      <w:proofErr w:type="gramEnd"/>
      <w:r w:rsidRPr="00FB2CC1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четвертого созыва.</w:t>
      </w:r>
    </w:p>
    <w:p w:rsidR="00FB2CC1" w:rsidRPr="00FB2CC1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CC1">
        <w:rPr>
          <w:rFonts w:ascii="Times New Roman" w:hAnsi="Times New Roman" w:cs="Times New Roman"/>
          <w:sz w:val="24"/>
          <w:szCs w:val="24"/>
        </w:rPr>
        <w:t xml:space="preserve">1.9. Общая численность работников органов местного самоуправления по состоянию на 31 декабря 2021 года, </w:t>
      </w:r>
      <w:r w:rsidR="00301E9A">
        <w:rPr>
          <w:rFonts w:ascii="Times New Roman" w:hAnsi="Times New Roman" w:cs="Times New Roman"/>
          <w:sz w:val="24"/>
          <w:szCs w:val="24"/>
        </w:rPr>
        <w:t>137</w:t>
      </w:r>
      <w:r w:rsidRPr="00FB2CC1">
        <w:rPr>
          <w:rFonts w:ascii="Times New Roman" w:hAnsi="Times New Roman" w:cs="Times New Roman"/>
          <w:sz w:val="24"/>
          <w:szCs w:val="24"/>
        </w:rPr>
        <w:t xml:space="preserve"> чел.:</w:t>
      </w:r>
    </w:p>
    <w:p w:rsidR="00FB2CC1" w:rsidRPr="00FB2CC1" w:rsidRDefault="00FB2CC1" w:rsidP="00FB2CC1">
      <w:pPr>
        <w:pStyle w:val="a5"/>
        <w:numPr>
          <w:ilvl w:val="0"/>
          <w:numId w:val="6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CC1">
        <w:rPr>
          <w:rFonts w:ascii="Times New Roman" w:hAnsi="Times New Roman" w:cs="Times New Roman"/>
          <w:sz w:val="24"/>
          <w:szCs w:val="24"/>
        </w:rPr>
        <w:t>число замещающих муниципальные должности – 1;</w:t>
      </w:r>
    </w:p>
    <w:p w:rsidR="00FB2CC1" w:rsidRPr="00FB2CC1" w:rsidRDefault="00FB2CC1" w:rsidP="00FB2CC1">
      <w:pPr>
        <w:pStyle w:val="a5"/>
        <w:numPr>
          <w:ilvl w:val="0"/>
          <w:numId w:val="6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CC1">
        <w:rPr>
          <w:rFonts w:ascii="Times New Roman" w:hAnsi="Times New Roman" w:cs="Times New Roman"/>
          <w:sz w:val="24"/>
          <w:szCs w:val="24"/>
        </w:rPr>
        <w:t>общая фактическая численность муниципальных служащих, 11</w:t>
      </w:r>
      <w:r w:rsidR="00301E9A">
        <w:rPr>
          <w:rFonts w:ascii="Times New Roman" w:hAnsi="Times New Roman" w:cs="Times New Roman"/>
          <w:sz w:val="24"/>
          <w:szCs w:val="24"/>
        </w:rPr>
        <w:t>4</w:t>
      </w:r>
      <w:r w:rsidRPr="00FB2CC1">
        <w:rPr>
          <w:rFonts w:ascii="Times New Roman" w:hAnsi="Times New Roman" w:cs="Times New Roman"/>
          <w:sz w:val="24"/>
          <w:szCs w:val="24"/>
        </w:rPr>
        <w:t>.</w:t>
      </w:r>
    </w:p>
    <w:p w:rsidR="00FB2CC1" w:rsidRPr="00FB2CC1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CC1">
        <w:rPr>
          <w:rFonts w:ascii="Times New Roman" w:hAnsi="Times New Roman" w:cs="Times New Roman"/>
          <w:sz w:val="24"/>
          <w:szCs w:val="24"/>
        </w:rPr>
        <w:t>в том числе:</w:t>
      </w:r>
    </w:p>
    <w:p w:rsidR="00FB2CC1" w:rsidRPr="00FB2CC1" w:rsidRDefault="00FB2CC1" w:rsidP="00FB2CC1">
      <w:pPr>
        <w:pStyle w:val="a5"/>
        <w:numPr>
          <w:ilvl w:val="0"/>
          <w:numId w:val="6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CC1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FB2CC1">
        <w:rPr>
          <w:rFonts w:ascii="Times New Roman" w:hAnsi="Times New Roman" w:cs="Times New Roman"/>
          <w:sz w:val="24"/>
          <w:szCs w:val="24"/>
        </w:rPr>
        <w:t xml:space="preserve"> собственные полномочия муниципального образования – </w:t>
      </w:r>
      <w:r w:rsidR="00301E9A">
        <w:rPr>
          <w:rFonts w:ascii="Times New Roman" w:hAnsi="Times New Roman" w:cs="Times New Roman"/>
          <w:sz w:val="24"/>
          <w:szCs w:val="24"/>
        </w:rPr>
        <w:t>98</w:t>
      </w:r>
      <w:r w:rsidRPr="00FB2CC1">
        <w:rPr>
          <w:rFonts w:ascii="Times New Roman" w:hAnsi="Times New Roman" w:cs="Times New Roman"/>
          <w:sz w:val="24"/>
          <w:szCs w:val="24"/>
        </w:rPr>
        <w:t>;</w:t>
      </w:r>
    </w:p>
    <w:p w:rsidR="00FB2CC1" w:rsidRPr="00FB2CC1" w:rsidRDefault="00FB2CC1" w:rsidP="00FB2CC1">
      <w:pPr>
        <w:pStyle w:val="a5"/>
        <w:numPr>
          <w:ilvl w:val="0"/>
          <w:numId w:val="6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CC1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FB2CC1">
        <w:rPr>
          <w:rFonts w:ascii="Times New Roman" w:hAnsi="Times New Roman" w:cs="Times New Roman"/>
          <w:sz w:val="24"/>
          <w:szCs w:val="24"/>
        </w:rPr>
        <w:t xml:space="preserve"> переданные государственные полномочия – 18;</w:t>
      </w:r>
    </w:p>
    <w:p w:rsidR="00FB2CC1" w:rsidRPr="00FB2CC1" w:rsidRDefault="00FB2CC1" w:rsidP="00FB2CC1">
      <w:pPr>
        <w:pStyle w:val="a5"/>
        <w:numPr>
          <w:ilvl w:val="0"/>
          <w:numId w:val="6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CC1">
        <w:rPr>
          <w:rFonts w:ascii="Times New Roman" w:hAnsi="Times New Roman" w:cs="Times New Roman"/>
          <w:sz w:val="24"/>
          <w:szCs w:val="24"/>
        </w:rPr>
        <w:t>исполняющих полномочия иных муниципальных образований, переданные соглашениями - 1.</w:t>
      </w:r>
      <w:proofErr w:type="gramEnd"/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Примечание: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образования, переданные государственные полномочия, полномочия иных муниципальных образований, переданные соглашениями.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1.10. Официальное печатное издание для опубликования правовых актов органов местного самоуправления:</w:t>
      </w:r>
    </w:p>
    <w:p w:rsidR="00FB2CC1" w:rsidRPr="003A1787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Решением Совета депутатов Ломоносовского муниципального района,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41 от 8 июля 2009 года «Об официальных средствах массовой информации муниципального образования Ломоносовский муниципальный район», официальными средствами массовой информации установлены газеты «Ломоносовский районный вестник» и «Балтийский луч»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CC1" w:rsidRDefault="00FB2CC1" w:rsidP="00FB2CC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1.11. Наличие официального сайта органа местного самоуправления в сети "Интернет", электронный адрес органа местного самоуправления - Решением Совета депутатов Ломоносовского муниципального района,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99 от 29.09.2010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года «Изменения и дополнения в устав муниципального образования Ломоносовский муниципальный район Ленинградской области» официальным сайтом органов местного самоуправления установлен </w:t>
      </w:r>
      <w:hyperlink r:id="rId6" w:history="1">
        <w:r w:rsidRPr="003A1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17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1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lomonosovlo</w:t>
        </w:r>
        <w:proofErr w:type="spellEnd"/>
        <w:r w:rsidRPr="003A17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1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FB2CC1" w:rsidRPr="00716BFF" w:rsidRDefault="00FB2CC1" w:rsidP="00FB2CC1"/>
    <w:p w:rsidR="003A1787" w:rsidRDefault="003A1787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03E" w:rsidRDefault="00B0403E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3E" w:rsidRDefault="00B0403E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3E" w:rsidRDefault="00B0403E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C1" w:rsidRDefault="00FB2CC1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3E" w:rsidRDefault="00B0403E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CA" w:rsidRPr="003A1787" w:rsidRDefault="00206CCA" w:rsidP="003A17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1787">
        <w:rPr>
          <w:rFonts w:ascii="Times New Roman" w:hAnsi="Times New Roman" w:cs="Times New Roman"/>
          <w:b/>
          <w:sz w:val="24"/>
          <w:szCs w:val="24"/>
        </w:rPr>
        <w:t>. Экономическое развитие</w:t>
      </w:r>
    </w:p>
    <w:p w:rsidR="00206CCA" w:rsidRPr="003A1787" w:rsidRDefault="00206CCA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п.1. Число субъектов малого и среднего предпринимательства в расчете на 10 тыс. человек населения (единиц)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03E" w:rsidRDefault="00B0403E" w:rsidP="00B0403E">
      <w:pPr>
        <w:pStyle w:val="a5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году – </w:t>
      </w:r>
      <w:r>
        <w:rPr>
          <w:rFonts w:ascii="Times New Roman" w:hAnsi="Times New Roman" w:cs="Times New Roman"/>
          <w:sz w:val="24"/>
          <w:szCs w:val="24"/>
        </w:rPr>
        <w:t>451</w:t>
      </w:r>
      <w:r w:rsidRPr="0061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>;</w:t>
      </w:r>
    </w:p>
    <w:p w:rsidR="00B0403E" w:rsidRDefault="00B0403E" w:rsidP="00B0403E">
      <w:pPr>
        <w:pStyle w:val="a5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7259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61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7259">
        <w:rPr>
          <w:rFonts w:ascii="Times New Roman" w:hAnsi="Times New Roman" w:cs="Times New Roman"/>
          <w:sz w:val="24"/>
          <w:szCs w:val="24"/>
        </w:rPr>
        <w:t>;</w:t>
      </w:r>
    </w:p>
    <w:p w:rsidR="00B0403E" w:rsidRDefault="00B0403E" w:rsidP="00B0403E">
      <w:pPr>
        <w:pStyle w:val="a5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25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3A1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7259">
        <w:rPr>
          <w:rFonts w:ascii="Times New Roman" w:hAnsi="Times New Roman" w:cs="Times New Roman"/>
          <w:sz w:val="24"/>
          <w:szCs w:val="24"/>
        </w:rPr>
        <w:t>;</w:t>
      </w:r>
    </w:p>
    <w:p w:rsidR="00B0403E" w:rsidRPr="00617259" w:rsidRDefault="00B0403E" w:rsidP="00B0403E">
      <w:pPr>
        <w:pStyle w:val="a5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планируемые значения на 3-летний период:</w:t>
      </w:r>
    </w:p>
    <w:p w:rsidR="00B0403E" w:rsidRPr="003A1787" w:rsidRDefault="00B0403E" w:rsidP="00B0403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514</w:t>
      </w:r>
      <w:r w:rsidRPr="003A1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B0403E" w:rsidRPr="003A1787" w:rsidRDefault="00B0403E" w:rsidP="00B0403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023 году – 521,91;</w:t>
      </w:r>
    </w:p>
    <w:p w:rsidR="00B0403E" w:rsidRPr="003A1787" w:rsidRDefault="00B0403E" w:rsidP="00B0403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529,74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8A">
        <w:rPr>
          <w:rFonts w:ascii="Times New Roman" w:hAnsi="Times New Roman" w:cs="Times New Roman"/>
          <w:sz w:val="24"/>
          <w:szCs w:val="24"/>
        </w:rPr>
        <w:t xml:space="preserve">В 2021 году наблюдался рост количества организаций малого бизнеса (юридических лиц) и индивидуальных предпринимателей относительно 2020 года (2021 год – </w:t>
      </w:r>
      <w:r w:rsidRPr="00EF1289">
        <w:rPr>
          <w:rFonts w:ascii="Times New Roman" w:hAnsi="Times New Roman" w:cs="Times New Roman"/>
          <w:sz w:val="24"/>
          <w:szCs w:val="24"/>
        </w:rPr>
        <w:t>3852</w:t>
      </w:r>
      <w:r w:rsidRPr="0040398A">
        <w:rPr>
          <w:rFonts w:ascii="Times New Roman" w:hAnsi="Times New Roman" w:cs="Times New Roman"/>
          <w:sz w:val="24"/>
          <w:szCs w:val="24"/>
        </w:rPr>
        <w:t xml:space="preserve"> единиц субъектов малого и среднего предпринимательства; 2020 год – 3540 единиц).</w:t>
      </w:r>
    </w:p>
    <w:p w:rsidR="00B0403E" w:rsidRPr="003A1787" w:rsidRDefault="00B0403E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 xml:space="preserve">В 2020 году число субъектов малого и среднего предпринимательства на 10000 человек населения увеличилось с </w:t>
      </w:r>
      <w:r w:rsidRPr="00F8162B">
        <w:rPr>
          <w:rFonts w:ascii="Times New Roman" w:hAnsi="Times New Roman"/>
          <w:sz w:val="24"/>
          <w:szCs w:val="24"/>
        </w:rPr>
        <w:t>451,4</w:t>
      </w:r>
      <w:r w:rsidRPr="003A1787">
        <w:rPr>
          <w:rFonts w:ascii="Times New Roman" w:hAnsi="Times New Roman"/>
          <w:sz w:val="24"/>
          <w:szCs w:val="24"/>
        </w:rPr>
        <w:t xml:space="preserve"> единиц до </w:t>
      </w:r>
      <w:r>
        <w:rPr>
          <w:rFonts w:ascii="Times New Roman" w:hAnsi="Times New Roman"/>
          <w:sz w:val="24"/>
          <w:szCs w:val="24"/>
        </w:rPr>
        <w:t>506</w:t>
      </w:r>
      <w:r w:rsidRPr="003A17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A1787">
        <w:rPr>
          <w:rFonts w:ascii="Times New Roman" w:hAnsi="Times New Roman"/>
          <w:sz w:val="24"/>
          <w:szCs w:val="24"/>
        </w:rPr>
        <w:t>единиц.</w:t>
      </w: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Рост обусловлен благоприятным инвестиционным климатом.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Среди положительных факторов, оказывающих влияние на развитие малого и среднего предпринимательства в Ломоносовском районе, стоит отметить реализацию положений Федерального закона Российской Федерации от 24 июля 2007 г. N 209-ФЗ "О развитии малого и среднего предпринимательства в Российской Федерации" и разработанной в соответствии с данным законом областной подпрограммы «Развитие малого, среднего предпринимательства и потребительского рынка Ленинградской области».</w:t>
      </w:r>
      <w:proofErr w:type="gramEnd"/>
    </w:p>
    <w:p w:rsidR="00B0403E" w:rsidRDefault="00B0403E" w:rsidP="00B04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На территории Ломоносовского района реализуется муниципальная программа «Развитие малого и среднего предпринимательства в Ломоносовском муниципальном районе», утвержденная постановлением администрации МО Ломоносовский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от 11.12.2017 № 2467-р/17.</w:t>
      </w:r>
    </w:p>
    <w:p w:rsidR="00B0403E" w:rsidRPr="003A1787" w:rsidRDefault="00B0403E" w:rsidP="00B04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Администрация Ломоносовского района участвует в реализации мероприятий государственной подпрограммы «Развитие малого, среднего предпринимательства и потребительского рынка Ленинградской области», утвержденной постановлением Правительства Ленинградской области от 14.11.2013 № 394. Благодаря участию в государственной программе Ленинградской области предпринимателям предоставляется реальная возможность получать необходимые информационные и финансовые ресурсы.</w:t>
      </w: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03E" w:rsidRDefault="00B0403E" w:rsidP="00B0403E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787">
        <w:rPr>
          <w:rFonts w:ascii="Times New Roman" w:hAnsi="Times New Roman" w:cs="Times New Roman"/>
          <w:sz w:val="24"/>
          <w:szCs w:val="24"/>
        </w:rPr>
        <w:t>;</w:t>
      </w:r>
    </w:p>
    <w:p w:rsidR="00B0403E" w:rsidRDefault="00B0403E" w:rsidP="00B0403E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7259">
        <w:rPr>
          <w:rFonts w:ascii="Times New Roman" w:hAnsi="Times New Roman" w:cs="Times New Roman"/>
          <w:sz w:val="24"/>
          <w:szCs w:val="24"/>
        </w:rPr>
        <w:t xml:space="preserve"> году –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7259">
        <w:rPr>
          <w:rFonts w:ascii="Times New Roman" w:hAnsi="Times New Roman" w:cs="Times New Roman"/>
          <w:sz w:val="24"/>
          <w:szCs w:val="24"/>
        </w:rPr>
        <w:t>;</w:t>
      </w:r>
    </w:p>
    <w:p w:rsidR="00B0403E" w:rsidRDefault="00B0403E" w:rsidP="00B0403E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259">
        <w:rPr>
          <w:rFonts w:ascii="Times New Roman" w:hAnsi="Times New Roman" w:cs="Times New Roman"/>
          <w:sz w:val="24"/>
          <w:szCs w:val="24"/>
        </w:rPr>
        <w:t xml:space="preserve"> год –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617259">
        <w:rPr>
          <w:rFonts w:ascii="Times New Roman" w:hAnsi="Times New Roman" w:cs="Times New Roman"/>
          <w:sz w:val="24"/>
          <w:szCs w:val="24"/>
        </w:rPr>
        <w:t>;</w:t>
      </w:r>
    </w:p>
    <w:p w:rsidR="00B0403E" w:rsidRPr="00617259" w:rsidRDefault="00B0403E" w:rsidP="00B0403E">
      <w:pPr>
        <w:pStyle w:val="a5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17259">
        <w:rPr>
          <w:rFonts w:ascii="Times New Roman" w:hAnsi="Times New Roman" w:cs="Times New Roman"/>
          <w:sz w:val="24"/>
          <w:szCs w:val="24"/>
        </w:rPr>
        <w:t>планируемые значения на 3-летний период:</w:t>
      </w:r>
    </w:p>
    <w:p w:rsidR="00B0403E" w:rsidRPr="003A1787" w:rsidRDefault="00B0403E" w:rsidP="00B0403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A1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36;</w:t>
      </w:r>
    </w:p>
    <w:p w:rsidR="00B0403E" w:rsidRPr="003A1787" w:rsidRDefault="00B0403E" w:rsidP="00B0403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A1787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B0403E" w:rsidRPr="003A1787" w:rsidRDefault="00B0403E" w:rsidP="00B0403E">
      <w:pPr>
        <w:pStyle w:val="a5"/>
        <w:ind w:left="1415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A1787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FB2CC1" w:rsidRDefault="00FB2CC1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2CC1" w:rsidRDefault="00FB2CC1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03E" w:rsidRPr="003A1787" w:rsidRDefault="00B0403E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1787">
        <w:rPr>
          <w:rFonts w:ascii="Times New Roman" w:hAnsi="Times New Roman"/>
          <w:b/>
          <w:bCs/>
          <w:sz w:val="24"/>
          <w:szCs w:val="24"/>
        </w:rPr>
        <w:lastRenderedPageBreak/>
        <w:t>Состояние малого бизнеса является одним из основных индикаторов качества экономической и социальной среды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0403E" w:rsidRPr="003A1787" w:rsidRDefault="00B0403E" w:rsidP="00B04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787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Pr="006172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7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62%. По сравнению с 2020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годом показатель повысился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1787">
        <w:rPr>
          <w:rFonts w:ascii="Times New Roman" w:hAnsi="Times New Roman" w:cs="Times New Roman"/>
          <w:sz w:val="24"/>
          <w:szCs w:val="24"/>
        </w:rPr>
        <w:t>2%. Повышение показателя обусловлено повышением числа работников, занятых на малых и средних предприятиях района. Ежегодный ввод новых производственных объектов в Ломоносовском районе влечет за собой создание новых рабочих мест. Только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создано</w:t>
      </w:r>
      <w:r w:rsidRPr="003A17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более</w:t>
      </w:r>
      <w:r w:rsidRPr="003A17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289">
        <w:rPr>
          <w:rFonts w:ascii="Times New Roman" w:hAnsi="Times New Roman" w:cs="Times New Roman"/>
          <w:sz w:val="24"/>
          <w:szCs w:val="24"/>
        </w:rPr>
        <w:t>950</w:t>
      </w:r>
      <w:r>
        <w:rPr>
          <w:rFonts w:ascii="Times New Roman" w:hAnsi="Times New Roman" w:cs="Times New Roman"/>
          <w:sz w:val="24"/>
          <w:szCs w:val="24"/>
        </w:rPr>
        <w:t xml:space="preserve"> новых рабочих мест.</w:t>
      </w:r>
    </w:p>
    <w:p w:rsidR="00B0403E" w:rsidRPr="003A1787" w:rsidRDefault="00B0403E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 xml:space="preserve">В прогнозном периоде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увеличится до </w:t>
      </w:r>
      <w:r>
        <w:rPr>
          <w:rFonts w:ascii="Times New Roman" w:hAnsi="Times New Roman"/>
          <w:sz w:val="24"/>
          <w:szCs w:val="24"/>
        </w:rPr>
        <w:t>51</w:t>
      </w:r>
      <w:r w:rsidRPr="003A1787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>9</w:t>
      </w:r>
      <w:r w:rsidRPr="003A1787">
        <w:rPr>
          <w:rFonts w:ascii="Times New Roman" w:hAnsi="Times New Roman"/>
          <w:sz w:val="24"/>
          <w:szCs w:val="24"/>
        </w:rPr>
        <w:t>% в 202</w:t>
      </w:r>
      <w:r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 xml:space="preserve"> году.</w:t>
      </w:r>
    </w:p>
    <w:p w:rsidR="00B0403E" w:rsidRPr="003A1787" w:rsidRDefault="00B0403E" w:rsidP="00B0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Росту данного показателя будут способствовать реализация государственной программы «</w:t>
      </w:r>
      <w:r w:rsidRPr="003A1787">
        <w:rPr>
          <w:rFonts w:ascii="Times New Roman" w:hAnsi="Times New Roman"/>
          <w:color w:val="000000"/>
          <w:sz w:val="24"/>
          <w:szCs w:val="24"/>
        </w:rPr>
        <w:t>Развитие малого, среднего предпринимательства и потребительского рынка Ленинградской области</w:t>
      </w:r>
      <w:r w:rsidRPr="003A1787">
        <w:rPr>
          <w:rFonts w:ascii="Times New Roman" w:hAnsi="Times New Roman"/>
          <w:sz w:val="24"/>
          <w:szCs w:val="24"/>
        </w:rPr>
        <w:t>».</w:t>
      </w:r>
    </w:p>
    <w:p w:rsidR="006B1CA3" w:rsidRPr="003A1787" w:rsidRDefault="006B1CA3" w:rsidP="003A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2DD" w:rsidRPr="006272DD" w:rsidRDefault="006272DD" w:rsidP="006272DD">
      <w:pPr>
        <w:pStyle w:val="a5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6272DD">
        <w:rPr>
          <w:rFonts w:ascii="Times New Roman" w:hAnsi="Times New Roman" w:cs="Times New Roman"/>
          <w:b/>
          <w:sz w:val="24"/>
          <w:szCs w:val="20"/>
        </w:rPr>
        <w:t>п.3 Объем инвестиций в основной капитал (за исключением бюджетных средств) в расчете на 1 жителя:</w:t>
      </w:r>
    </w:p>
    <w:p w:rsidR="006272DD" w:rsidRPr="006272DD" w:rsidRDefault="006272DD" w:rsidP="006272DD">
      <w:pPr>
        <w:pStyle w:val="a5"/>
        <w:ind w:firstLine="709"/>
        <w:rPr>
          <w:rFonts w:ascii="Times New Roman" w:hAnsi="Times New Roman" w:cs="Times New Roman"/>
          <w:sz w:val="24"/>
          <w:szCs w:val="20"/>
        </w:rPr>
      </w:pPr>
      <w:r w:rsidRPr="006272DD">
        <w:rPr>
          <w:rFonts w:ascii="Times New Roman" w:hAnsi="Times New Roman" w:cs="Times New Roman"/>
          <w:sz w:val="24"/>
          <w:szCs w:val="20"/>
        </w:rPr>
        <w:t>- фактические значения за год, предшествующий отчётному году, в 2020 году – 201758,0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272DD">
        <w:rPr>
          <w:rFonts w:ascii="Times New Roman" w:hAnsi="Times New Roman" w:cs="Times New Roman"/>
          <w:sz w:val="24"/>
          <w:szCs w:val="20"/>
        </w:rPr>
        <w:t xml:space="preserve">руб.; </w:t>
      </w:r>
    </w:p>
    <w:p w:rsidR="006272DD" w:rsidRPr="006272DD" w:rsidRDefault="006272DD" w:rsidP="006272DD">
      <w:pPr>
        <w:pStyle w:val="a5"/>
        <w:ind w:firstLine="709"/>
        <w:rPr>
          <w:rFonts w:ascii="Times New Roman" w:hAnsi="Times New Roman" w:cs="Times New Roman"/>
          <w:sz w:val="24"/>
          <w:szCs w:val="20"/>
        </w:rPr>
      </w:pPr>
      <w:r w:rsidRPr="006272DD">
        <w:rPr>
          <w:rFonts w:ascii="Times New Roman" w:hAnsi="Times New Roman" w:cs="Times New Roman"/>
          <w:sz w:val="24"/>
          <w:szCs w:val="20"/>
        </w:rPr>
        <w:t>- фактические значения за год, предшествующий на 2 года отчётному году, в 2019 году – 233177,0 руб.;</w:t>
      </w:r>
    </w:p>
    <w:p w:rsidR="006272DD" w:rsidRPr="006272DD" w:rsidRDefault="006272DD" w:rsidP="006272DD">
      <w:pPr>
        <w:pStyle w:val="a5"/>
        <w:ind w:firstLine="709"/>
        <w:rPr>
          <w:rFonts w:ascii="Times New Roman" w:hAnsi="Times New Roman" w:cs="Times New Roman"/>
          <w:sz w:val="24"/>
          <w:szCs w:val="20"/>
        </w:rPr>
      </w:pPr>
      <w:r w:rsidRPr="006272DD">
        <w:rPr>
          <w:rFonts w:ascii="Times New Roman" w:hAnsi="Times New Roman" w:cs="Times New Roman"/>
          <w:sz w:val="24"/>
          <w:szCs w:val="20"/>
        </w:rPr>
        <w:t>- фактические значения за отчётный 2021 год – 192321,0 руб.;</w:t>
      </w:r>
    </w:p>
    <w:p w:rsidR="006272DD" w:rsidRPr="006272DD" w:rsidRDefault="006272DD" w:rsidP="006272DD">
      <w:pPr>
        <w:pStyle w:val="a5"/>
        <w:ind w:firstLine="70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6272DD">
        <w:rPr>
          <w:rFonts w:ascii="Times New Roman" w:hAnsi="Times New Roman" w:cs="Times New Roman"/>
          <w:sz w:val="24"/>
          <w:szCs w:val="20"/>
        </w:rPr>
        <w:t>планируемые значения на 3-летний период:</w:t>
      </w:r>
    </w:p>
    <w:p w:rsidR="006272DD" w:rsidRPr="006272DD" w:rsidRDefault="006272DD" w:rsidP="006272DD">
      <w:pPr>
        <w:pStyle w:val="a5"/>
        <w:rPr>
          <w:rFonts w:ascii="Times New Roman" w:hAnsi="Times New Roman" w:cs="Times New Roman"/>
          <w:i/>
          <w:sz w:val="24"/>
          <w:szCs w:val="20"/>
        </w:rPr>
      </w:pPr>
      <w:r w:rsidRPr="006272DD">
        <w:rPr>
          <w:rFonts w:ascii="Times New Roman" w:hAnsi="Times New Roman" w:cs="Times New Roman"/>
          <w:i/>
          <w:sz w:val="24"/>
          <w:szCs w:val="20"/>
        </w:rPr>
        <w:t xml:space="preserve">   в 2022 году – 223511,54 руб. (расчёт показателя: 18395 млн</w:t>
      </w:r>
      <w:proofErr w:type="gramStart"/>
      <w:r w:rsidRPr="006272DD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272DD">
        <w:rPr>
          <w:rFonts w:ascii="Times New Roman" w:hAnsi="Times New Roman" w:cs="Times New Roman"/>
          <w:i/>
          <w:sz w:val="24"/>
          <w:szCs w:val="20"/>
        </w:rPr>
        <w:t xml:space="preserve">уб. / 82,3 тыс.чел.), </w:t>
      </w:r>
    </w:p>
    <w:p w:rsidR="006272DD" w:rsidRPr="006272DD" w:rsidRDefault="006272DD" w:rsidP="006272DD">
      <w:pPr>
        <w:pStyle w:val="a5"/>
        <w:rPr>
          <w:rFonts w:ascii="Times New Roman" w:hAnsi="Times New Roman" w:cs="Times New Roman"/>
          <w:i/>
          <w:sz w:val="24"/>
          <w:szCs w:val="20"/>
        </w:rPr>
      </w:pPr>
      <w:r w:rsidRPr="006272DD">
        <w:rPr>
          <w:rFonts w:ascii="Times New Roman" w:hAnsi="Times New Roman" w:cs="Times New Roman"/>
          <w:i/>
          <w:sz w:val="24"/>
          <w:szCs w:val="20"/>
        </w:rPr>
        <w:t xml:space="preserve">   в 2023 году – 250711,74 </w:t>
      </w:r>
      <w:r>
        <w:rPr>
          <w:rFonts w:ascii="Times New Roman" w:hAnsi="Times New Roman" w:cs="Times New Roman"/>
          <w:i/>
          <w:sz w:val="24"/>
          <w:szCs w:val="20"/>
        </w:rPr>
        <w:t>руб. (расчёт показателя:</w:t>
      </w:r>
      <w:r w:rsidRPr="006272DD">
        <w:rPr>
          <w:rFonts w:ascii="Times New Roman" w:hAnsi="Times New Roman" w:cs="Times New Roman"/>
          <w:i/>
          <w:sz w:val="24"/>
          <w:szCs w:val="20"/>
        </w:rPr>
        <w:t xml:space="preserve"> 21135 млн</w:t>
      </w:r>
      <w:proofErr w:type="gramStart"/>
      <w:r w:rsidRPr="006272DD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272DD">
        <w:rPr>
          <w:rFonts w:ascii="Times New Roman" w:hAnsi="Times New Roman" w:cs="Times New Roman"/>
          <w:i/>
          <w:sz w:val="24"/>
          <w:szCs w:val="20"/>
        </w:rPr>
        <w:t>уб. / 84,3 тыс.чел.),</w:t>
      </w:r>
    </w:p>
    <w:p w:rsidR="006272DD" w:rsidRPr="006272DD" w:rsidRDefault="006272DD" w:rsidP="006272DD">
      <w:pPr>
        <w:pStyle w:val="a5"/>
        <w:rPr>
          <w:rFonts w:ascii="Times New Roman" w:hAnsi="Times New Roman" w:cs="Times New Roman"/>
          <w:i/>
          <w:sz w:val="24"/>
          <w:szCs w:val="20"/>
        </w:rPr>
      </w:pPr>
      <w:r w:rsidRPr="006272DD">
        <w:rPr>
          <w:rFonts w:ascii="Times New Roman" w:hAnsi="Times New Roman" w:cs="Times New Roman"/>
          <w:i/>
          <w:sz w:val="24"/>
          <w:szCs w:val="20"/>
        </w:rPr>
        <w:t xml:space="preserve">   в 2024 году – 288554,91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руб. (расчёт показателя: </w:t>
      </w:r>
      <w:r w:rsidRPr="006272DD">
        <w:rPr>
          <w:rFonts w:ascii="Times New Roman" w:hAnsi="Times New Roman" w:cs="Times New Roman"/>
          <w:i/>
          <w:sz w:val="24"/>
          <w:szCs w:val="20"/>
        </w:rPr>
        <w:t>24960  млн</w:t>
      </w:r>
      <w:proofErr w:type="gramStart"/>
      <w:r w:rsidRPr="006272DD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6272DD">
        <w:rPr>
          <w:rFonts w:ascii="Times New Roman" w:hAnsi="Times New Roman" w:cs="Times New Roman"/>
          <w:i/>
          <w:sz w:val="24"/>
          <w:szCs w:val="20"/>
        </w:rPr>
        <w:t>уб. / 86,5 тыс.чел.).</w:t>
      </w:r>
    </w:p>
    <w:p w:rsidR="006272DD" w:rsidRPr="006272DD" w:rsidRDefault="006272DD" w:rsidP="006272DD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272DD">
        <w:rPr>
          <w:rFonts w:ascii="Times New Roman" w:eastAsia="Calibri" w:hAnsi="Times New Roman" w:cs="Times New Roman"/>
          <w:sz w:val="24"/>
          <w:szCs w:val="20"/>
        </w:rPr>
        <w:t>Объем инвестиций в основной капитал крупных и средних предприятий в 2021 году составил 16992,4 млн</w:t>
      </w:r>
      <w:proofErr w:type="gramStart"/>
      <w:r w:rsidRPr="006272DD">
        <w:rPr>
          <w:rFonts w:ascii="Times New Roman" w:eastAsia="Calibri" w:hAnsi="Times New Roman" w:cs="Times New Roman"/>
          <w:sz w:val="24"/>
          <w:szCs w:val="20"/>
        </w:rPr>
        <w:t>.р</w:t>
      </w:r>
      <w:proofErr w:type="gramEnd"/>
      <w:r w:rsidRPr="006272DD">
        <w:rPr>
          <w:rFonts w:ascii="Times New Roman" w:eastAsia="Calibri" w:hAnsi="Times New Roman" w:cs="Times New Roman"/>
          <w:sz w:val="24"/>
          <w:szCs w:val="20"/>
        </w:rPr>
        <w:t>уб.</w:t>
      </w:r>
      <w:r w:rsidRPr="006272DD">
        <w:rPr>
          <w:rFonts w:ascii="Times New Roman" w:hAnsi="Times New Roman" w:cs="Times New Roman"/>
          <w:sz w:val="24"/>
          <w:szCs w:val="20"/>
        </w:rPr>
        <w:t xml:space="preserve"> (</w:t>
      </w:r>
      <w:r w:rsidRPr="006272DD">
        <w:rPr>
          <w:rFonts w:ascii="Times New Roman" w:eastAsia="Calibri" w:hAnsi="Times New Roman" w:cs="Times New Roman"/>
          <w:sz w:val="24"/>
          <w:szCs w:val="20"/>
        </w:rPr>
        <w:t>темп роста 99,4% к уровню 2020</w:t>
      </w:r>
      <w:r w:rsidRPr="006272DD">
        <w:rPr>
          <w:rFonts w:ascii="Times New Roman" w:hAnsi="Times New Roman" w:cs="Times New Roman"/>
          <w:sz w:val="24"/>
          <w:szCs w:val="20"/>
        </w:rPr>
        <w:t xml:space="preserve"> года)</w:t>
      </w:r>
      <w:r w:rsidRPr="006272DD">
        <w:rPr>
          <w:rFonts w:ascii="Times New Roman" w:eastAsia="Calibri" w:hAnsi="Times New Roman" w:cs="Times New Roman"/>
          <w:sz w:val="24"/>
          <w:szCs w:val="20"/>
        </w:rPr>
        <w:t>,</w:t>
      </w:r>
      <w:r w:rsidRPr="006272DD">
        <w:rPr>
          <w:rFonts w:ascii="Times New Roman" w:hAnsi="Times New Roman" w:cs="Times New Roman"/>
          <w:sz w:val="24"/>
          <w:szCs w:val="20"/>
        </w:rPr>
        <w:t xml:space="preserve"> в том числе за исключением бюджетных средств 15408,6 млн.руб.</w:t>
      </w:r>
      <w:r w:rsidRPr="006272DD">
        <w:rPr>
          <w:rFonts w:ascii="Times New Roman" w:eastAsia="Calibri" w:hAnsi="Times New Roman" w:cs="Times New Roman"/>
          <w:sz w:val="24"/>
          <w:szCs w:val="20"/>
        </w:rPr>
        <w:t xml:space="preserve"> (темп роста 98,9% к уровню 2020 года).</w:t>
      </w:r>
    </w:p>
    <w:p w:rsidR="006272DD" w:rsidRDefault="006272DD" w:rsidP="006272DD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272DD">
        <w:rPr>
          <w:rFonts w:ascii="Times New Roman" w:eastAsia="Calibri" w:hAnsi="Times New Roman" w:cs="Times New Roman"/>
          <w:sz w:val="24"/>
          <w:szCs w:val="20"/>
        </w:rPr>
        <w:t>В целом, за предыдущие пять лет на территории Ломоносовского района успешно реализовано крупных инвестиционных проектов на сумму более 74</w:t>
      </w:r>
      <w:r>
        <w:rPr>
          <w:rFonts w:ascii="Times New Roman" w:eastAsia="Calibri" w:hAnsi="Times New Roman" w:cs="Times New Roman"/>
          <w:sz w:val="24"/>
          <w:szCs w:val="20"/>
        </w:rPr>
        <w:t xml:space="preserve"> млрд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уб</w:t>
      </w:r>
      <w:r w:rsidRPr="006272DD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272DD" w:rsidRPr="006272DD" w:rsidRDefault="006272DD" w:rsidP="006272DD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272DD" w:rsidRPr="006272DD" w:rsidRDefault="006272DD" w:rsidP="006272DD">
      <w:pPr>
        <w:pStyle w:val="a5"/>
        <w:ind w:firstLine="709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6272DD">
        <w:rPr>
          <w:rFonts w:ascii="Times New Roman" w:eastAsia="Calibri" w:hAnsi="Times New Roman" w:cs="Times New Roman"/>
          <w:i/>
          <w:sz w:val="24"/>
          <w:szCs w:val="20"/>
        </w:rPr>
        <w:t>Динамика объема инвестиций, млрд</w:t>
      </w:r>
      <w:proofErr w:type="gramStart"/>
      <w:r w:rsidRPr="006272DD">
        <w:rPr>
          <w:rFonts w:ascii="Times New Roman" w:eastAsia="Calibri" w:hAnsi="Times New Roman" w:cs="Times New Roman"/>
          <w:i/>
          <w:sz w:val="24"/>
          <w:szCs w:val="20"/>
        </w:rPr>
        <w:t>.р</w:t>
      </w:r>
      <w:proofErr w:type="gramEnd"/>
      <w:r w:rsidRPr="006272DD">
        <w:rPr>
          <w:rFonts w:ascii="Times New Roman" w:eastAsia="Calibri" w:hAnsi="Times New Roman" w:cs="Times New Roman"/>
          <w:i/>
          <w:sz w:val="24"/>
          <w:szCs w:val="20"/>
        </w:rPr>
        <w:t>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062"/>
        <w:gridCol w:w="1062"/>
        <w:gridCol w:w="1176"/>
        <w:gridCol w:w="1022"/>
        <w:gridCol w:w="963"/>
        <w:gridCol w:w="1944"/>
      </w:tblGrid>
      <w:tr w:rsidR="006272DD" w:rsidRPr="00370D9A" w:rsidTr="006272DD">
        <w:tc>
          <w:tcPr>
            <w:tcW w:w="1951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62" w:type="dxa"/>
          </w:tcPr>
          <w:p w:rsidR="006272DD" w:rsidRPr="00370D9A" w:rsidRDefault="006272DD" w:rsidP="006272D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62" w:type="dxa"/>
          </w:tcPr>
          <w:p w:rsidR="006272DD" w:rsidRPr="00370D9A" w:rsidRDefault="006272DD" w:rsidP="006272D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2018</w:t>
            </w: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</w:tcPr>
          <w:p w:rsidR="006272DD" w:rsidRPr="00370D9A" w:rsidRDefault="006272DD" w:rsidP="006272D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2019</w:t>
            </w: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2" w:type="dxa"/>
          </w:tcPr>
          <w:p w:rsidR="006272DD" w:rsidRPr="00370D9A" w:rsidRDefault="006272DD" w:rsidP="006272D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</w:t>
            </w: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3" w:type="dxa"/>
          </w:tcPr>
          <w:p w:rsidR="006272DD" w:rsidRPr="00370D9A" w:rsidRDefault="006272DD" w:rsidP="006272D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  <w:r w:rsidRPr="00370D9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44" w:type="dxa"/>
            <w:vAlign w:val="center"/>
          </w:tcPr>
          <w:p w:rsidR="006272DD" w:rsidRPr="00370D9A" w:rsidRDefault="006272DD" w:rsidP="006272D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Темп роста 2021</w:t>
            </w:r>
            <w:r w:rsidRPr="00370D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г. </w:t>
            </w:r>
            <w:proofErr w:type="gramStart"/>
            <w:r w:rsidRPr="00370D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370D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% к 201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  <w:r w:rsidRPr="00370D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</w:t>
            </w:r>
          </w:p>
        </w:tc>
      </w:tr>
      <w:tr w:rsidR="006272DD" w:rsidRPr="00370D9A" w:rsidTr="006272DD">
        <w:tc>
          <w:tcPr>
            <w:tcW w:w="1951" w:type="dxa"/>
          </w:tcPr>
          <w:p w:rsidR="006272DD" w:rsidRPr="00370D9A" w:rsidRDefault="006272DD" w:rsidP="00B95FEF">
            <w:pPr>
              <w:pStyle w:val="a5"/>
              <w:ind w:hanging="5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Объем инвестиций, мл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рд</w:t>
            </w:r>
            <w:proofErr w:type="gramStart"/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.р</w:t>
            </w:r>
            <w:proofErr w:type="gramEnd"/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6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70D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16,99</w:t>
            </w:r>
          </w:p>
        </w:tc>
        <w:tc>
          <w:tcPr>
            <w:tcW w:w="1944" w:type="dxa"/>
            <w:vMerge w:val="restart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191,6</w:t>
            </w:r>
          </w:p>
        </w:tc>
      </w:tr>
      <w:tr w:rsidR="006272DD" w:rsidRPr="00370D9A" w:rsidTr="006272DD">
        <w:tc>
          <w:tcPr>
            <w:tcW w:w="1951" w:type="dxa"/>
          </w:tcPr>
          <w:p w:rsidR="006272DD" w:rsidRPr="00370D9A" w:rsidRDefault="006272DD" w:rsidP="00B95FEF">
            <w:pPr>
              <w:pStyle w:val="a5"/>
              <w:ind w:hanging="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Темп роста </w:t>
            </w:r>
            <w:proofErr w:type="gramStart"/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% </w:t>
            </w:r>
            <w:proofErr w:type="gramStart"/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06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111,9</w:t>
            </w:r>
          </w:p>
        </w:tc>
        <w:tc>
          <w:tcPr>
            <w:tcW w:w="106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162,8</w:t>
            </w:r>
          </w:p>
        </w:tc>
        <w:tc>
          <w:tcPr>
            <w:tcW w:w="1176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118,7</w:t>
            </w:r>
          </w:p>
        </w:tc>
        <w:tc>
          <w:tcPr>
            <w:tcW w:w="1022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0D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99,4</w:t>
            </w:r>
          </w:p>
        </w:tc>
        <w:tc>
          <w:tcPr>
            <w:tcW w:w="1944" w:type="dxa"/>
            <w:vMerge/>
            <w:vAlign w:val="center"/>
          </w:tcPr>
          <w:p w:rsidR="006272DD" w:rsidRPr="00370D9A" w:rsidRDefault="006272DD" w:rsidP="00B95FEF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6272DD" w:rsidRDefault="006272DD" w:rsidP="006272DD">
      <w:pPr>
        <w:pStyle w:val="announcement"/>
        <w:spacing w:before="0" w:beforeAutospacing="0" w:after="0" w:afterAutospacing="0" w:line="288" w:lineRule="auto"/>
        <w:ind w:firstLine="709"/>
        <w:jc w:val="both"/>
        <w:rPr>
          <w:sz w:val="20"/>
          <w:szCs w:val="20"/>
        </w:rPr>
      </w:pPr>
    </w:p>
    <w:p w:rsidR="006272DD" w:rsidRPr="006272DD" w:rsidRDefault="006272DD" w:rsidP="006272DD">
      <w:pPr>
        <w:pStyle w:val="announcement"/>
        <w:spacing w:before="0" w:beforeAutospacing="0" w:after="0" w:afterAutospacing="0" w:line="288" w:lineRule="auto"/>
        <w:ind w:firstLine="709"/>
        <w:jc w:val="both"/>
      </w:pPr>
      <w:r w:rsidRPr="006272DD">
        <w:t>Наибольший удельный вес – 48% в объеме инвестиций района обеспечивают предприятия промышленности.</w:t>
      </w:r>
    </w:p>
    <w:p w:rsidR="006272DD" w:rsidRPr="006272DD" w:rsidRDefault="006272DD" w:rsidP="00D14E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Удельный вес в отраслевом разрезе объема инвестиций:</w:t>
      </w:r>
      <w:r w:rsidRPr="006272DD">
        <w:rPr>
          <w:rFonts w:ascii="Times New Roman" w:hAnsi="Times New Roman"/>
          <w:sz w:val="24"/>
          <w:szCs w:val="24"/>
        </w:rPr>
        <w:br/>
        <w:t>– 1,3% - сельское хозяйство – 226353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к СППГ 83,3%;</w:t>
      </w:r>
      <w:r w:rsidRPr="006272DD">
        <w:rPr>
          <w:rFonts w:ascii="Times New Roman" w:hAnsi="Times New Roman"/>
          <w:sz w:val="24"/>
          <w:szCs w:val="24"/>
        </w:rPr>
        <w:br/>
        <w:t>– 48,0% - обрабатывающие производства – 8157941 тыс.руб., темп роста 78,7%;</w:t>
      </w:r>
      <w:r w:rsidRPr="006272DD">
        <w:rPr>
          <w:rFonts w:ascii="Times New Roman" w:hAnsi="Times New Roman"/>
          <w:sz w:val="24"/>
          <w:szCs w:val="24"/>
        </w:rPr>
        <w:br/>
        <w:t>– 5,2% - обеспечение электрической энергией, газом и паром – 883730 тыс.руб., темп роста 217,1%;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– 0,1% - транспортировка и хранение –24108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56,9%;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lastRenderedPageBreak/>
        <w:t>– 21,0% - деятельность по операциям с недвижимым имуществом – 3560481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148,1%;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– 2% - деятельность профессиональная, научная –  343033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3492,5%;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– 8,6% - деятельность в сфере </w:t>
      </w:r>
      <w:proofErr w:type="spellStart"/>
      <w:r w:rsidRPr="006272DD">
        <w:rPr>
          <w:rFonts w:ascii="Times New Roman" w:hAnsi="Times New Roman"/>
          <w:sz w:val="24"/>
          <w:szCs w:val="24"/>
        </w:rPr>
        <w:t>гос</w:t>
      </w:r>
      <w:proofErr w:type="gramStart"/>
      <w:r w:rsidRPr="006272DD">
        <w:rPr>
          <w:rFonts w:ascii="Times New Roman" w:hAnsi="Times New Roman"/>
          <w:sz w:val="24"/>
          <w:szCs w:val="24"/>
        </w:rPr>
        <w:t>.у</w:t>
      </w:r>
      <w:proofErr w:type="gramEnd"/>
      <w:r w:rsidRPr="006272DD">
        <w:rPr>
          <w:rFonts w:ascii="Times New Roman" w:hAnsi="Times New Roman"/>
          <w:sz w:val="24"/>
          <w:szCs w:val="24"/>
        </w:rPr>
        <w:t>правления</w:t>
      </w:r>
      <w:proofErr w:type="spellEnd"/>
      <w:r w:rsidRPr="006272DD">
        <w:rPr>
          <w:rFonts w:ascii="Times New Roman" w:hAnsi="Times New Roman"/>
          <w:sz w:val="24"/>
          <w:szCs w:val="24"/>
        </w:rPr>
        <w:t>, соц.обеспечения – 1460269 тыс.руб. темп роста 111,4%</w:t>
      </w:r>
      <w:r w:rsidR="00D14E04">
        <w:rPr>
          <w:rFonts w:ascii="Times New Roman" w:hAnsi="Times New Roman"/>
          <w:sz w:val="24"/>
          <w:szCs w:val="24"/>
        </w:rPr>
        <w:t>;</w:t>
      </w:r>
    </w:p>
    <w:p w:rsidR="006272DD" w:rsidRPr="006272DD" w:rsidRDefault="00D14E04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72DD" w:rsidRPr="006272DD">
        <w:rPr>
          <w:rFonts w:ascii="Times New Roman" w:hAnsi="Times New Roman"/>
          <w:sz w:val="24"/>
          <w:szCs w:val="24"/>
        </w:rPr>
        <w:t xml:space="preserve"> 0,9 - строительство - 153400 тыс</w:t>
      </w:r>
      <w:proofErr w:type="gramStart"/>
      <w:r w:rsidR="006272DD"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="006272DD" w:rsidRPr="006272DD">
        <w:rPr>
          <w:rFonts w:ascii="Times New Roman" w:hAnsi="Times New Roman"/>
          <w:sz w:val="24"/>
          <w:szCs w:val="24"/>
        </w:rPr>
        <w:t>уб., темп роста - 605,9%;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- 11,3% - торговля оптовая и розничная, ремонт автотранспортных средств - 1913252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- 97,9%;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- 0,4 - образование - 62460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- 3290,8%;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- 0,5% - деятельность в области здравоохранения - 90350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уб., темп роста - 44,3%;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- 0,5% - деятельность в обрасти культуры, спорта и организации досуга - 84612 тыс</w:t>
      </w:r>
      <w:proofErr w:type="gramStart"/>
      <w:r w:rsidRPr="006272DD">
        <w:rPr>
          <w:rFonts w:ascii="Times New Roman" w:hAnsi="Times New Roman"/>
          <w:sz w:val="24"/>
          <w:szCs w:val="24"/>
        </w:rPr>
        <w:t>.р</w:t>
      </w:r>
      <w:proofErr w:type="gramEnd"/>
      <w:r w:rsidRPr="006272DD">
        <w:rPr>
          <w:rFonts w:ascii="Times New Roman" w:hAnsi="Times New Roman"/>
          <w:sz w:val="24"/>
          <w:szCs w:val="24"/>
        </w:rPr>
        <w:t>уб</w:t>
      </w:r>
      <w:r w:rsidR="00D14E04">
        <w:rPr>
          <w:rFonts w:ascii="Times New Roman" w:hAnsi="Times New Roman"/>
          <w:sz w:val="24"/>
          <w:szCs w:val="24"/>
        </w:rPr>
        <w:t>.</w:t>
      </w:r>
      <w:r w:rsidRPr="006272DD">
        <w:rPr>
          <w:rFonts w:ascii="Times New Roman" w:hAnsi="Times New Roman"/>
          <w:sz w:val="24"/>
          <w:szCs w:val="24"/>
        </w:rPr>
        <w:t>, темп роста - 119,5%;</w:t>
      </w:r>
    </w:p>
    <w:p w:rsidR="006272DD" w:rsidRPr="006272DD" w:rsidRDefault="006272DD" w:rsidP="00D1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- 0,2 - прочее (нет данных,</w:t>
      </w:r>
      <w:r w:rsidR="00D14E04">
        <w:rPr>
          <w:rFonts w:ascii="Times New Roman" w:hAnsi="Times New Roman"/>
          <w:sz w:val="24"/>
          <w:szCs w:val="24"/>
        </w:rPr>
        <w:t xml:space="preserve"> </w:t>
      </w:r>
      <w:r w:rsidRPr="006272DD">
        <w:rPr>
          <w:rFonts w:ascii="Times New Roman" w:hAnsi="Times New Roman"/>
          <w:sz w:val="24"/>
          <w:szCs w:val="24"/>
        </w:rPr>
        <w:t>т.к. статист</w:t>
      </w:r>
      <w:r w:rsidR="00D14E04">
        <w:rPr>
          <w:rFonts w:ascii="Times New Roman" w:hAnsi="Times New Roman"/>
          <w:sz w:val="24"/>
          <w:szCs w:val="24"/>
        </w:rPr>
        <w:t>ика не показывает данные по 1 о</w:t>
      </w:r>
      <w:r w:rsidRPr="006272DD">
        <w:rPr>
          <w:rFonts w:ascii="Times New Roman" w:hAnsi="Times New Roman"/>
          <w:sz w:val="24"/>
          <w:szCs w:val="24"/>
        </w:rPr>
        <w:t>р</w:t>
      </w:r>
      <w:r w:rsidR="00D14E04">
        <w:rPr>
          <w:rFonts w:ascii="Times New Roman" w:hAnsi="Times New Roman"/>
          <w:sz w:val="24"/>
          <w:szCs w:val="24"/>
        </w:rPr>
        <w:t>г</w:t>
      </w:r>
      <w:r w:rsidRPr="006272DD">
        <w:rPr>
          <w:rFonts w:ascii="Times New Roman" w:hAnsi="Times New Roman"/>
          <w:sz w:val="24"/>
          <w:szCs w:val="24"/>
        </w:rPr>
        <w:t>анизации).</w:t>
      </w:r>
    </w:p>
    <w:p w:rsidR="006272DD" w:rsidRPr="006272DD" w:rsidRDefault="006272DD" w:rsidP="006272DD">
      <w:pPr>
        <w:pStyle w:val="announcement"/>
        <w:spacing w:before="0" w:beforeAutospacing="0" w:after="0" w:afterAutospacing="0" w:line="288" w:lineRule="auto"/>
        <w:ind w:firstLine="709"/>
        <w:jc w:val="both"/>
      </w:pPr>
    </w:p>
    <w:p w:rsidR="006272DD" w:rsidRPr="006272DD" w:rsidRDefault="006272DD" w:rsidP="00D14E04">
      <w:pPr>
        <w:pStyle w:val="a6"/>
        <w:spacing w:line="288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6272DD">
        <w:rPr>
          <w:rFonts w:ascii="Times New Roman" w:hAnsi="Times New Roman"/>
          <w:kern w:val="36"/>
          <w:sz w:val="24"/>
          <w:szCs w:val="24"/>
        </w:rPr>
        <w:t>Характеризуя реализацию инвестиционных проектов в 2021 и на прогнозный период следует</w:t>
      </w:r>
      <w:proofErr w:type="gramEnd"/>
      <w:r w:rsidRPr="006272DD">
        <w:rPr>
          <w:rFonts w:ascii="Times New Roman" w:hAnsi="Times New Roman"/>
          <w:kern w:val="36"/>
          <w:sz w:val="24"/>
          <w:szCs w:val="24"/>
        </w:rPr>
        <w:t xml:space="preserve"> отметить значимые объекты: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kern w:val="36"/>
          <w:sz w:val="24"/>
          <w:szCs w:val="24"/>
        </w:rPr>
        <w:t>НАО «Северная Звезда»</w:t>
      </w:r>
      <w:r w:rsidRPr="006272DD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6272DD">
        <w:rPr>
          <w:rFonts w:ascii="Times New Roman" w:hAnsi="Times New Roman"/>
          <w:kern w:val="36"/>
          <w:sz w:val="24"/>
          <w:szCs w:val="24"/>
        </w:rPr>
        <w:t xml:space="preserve">– </w:t>
      </w:r>
      <w:r w:rsidRPr="006272D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Низинского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сельского поселения планируется пуск новых технологических линий по производству лекарств. Рост до 450 рабочих мест;</w:t>
      </w:r>
    </w:p>
    <w:p w:rsidR="006272DD" w:rsidRPr="006272DD" w:rsidRDefault="006272DD" w:rsidP="00D14E04">
      <w:pPr>
        <w:pStyle w:val="a5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 xml:space="preserve">ООО «Глория» - </w:t>
      </w:r>
      <w:r w:rsidRPr="006272D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Низинского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сельского поселения, будет создано 263 рабочих мест;</w:t>
      </w:r>
    </w:p>
    <w:p w:rsidR="006272DD" w:rsidRPr="00D14E04" w:rsidRDefault="006272DD" w:rsidP="00D14E04">
      <w:pPr>
        <w:pStyle w:val="a5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14E04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D14E04">
        <w:rPr>
          <w:rFonts w:ascii="Times New Roman" w:hAnsi="Times New Roman"/>
          <w:i/>
          <w:sz w:val="24"/>
          <w:szCs w:val="24"/>
        </w:rPr>
        <w:t>Якобс</w:t>
      </w:r>
      <w:proofErr w:type="spellEnd"/>
      <w:r w:rsidRPr="00D14E04">
        <w:rPr>
          <w:rFonts w:ascii="Times New Roman" w:hAnsi="Times New Roman"/>
          <w:i/>
          <w:sz w:val="24"/>
          <w:szCs w:val="24"/>
        </w:rPr>
        <w:t xml:space="preserve"> ДАУ ЭГБЕРТС РУС»</w:t>
      </w:r>
      <w:r w:rsidRPr="00D14E04">
        <w:rPr>
          <w:rFonts w:ascii="Times New Roman" w:hAnsi="Times New Roman"/>
          <w:b/>
          <w:sz w:val="24"/>
          <w:szCs w:val="24"/>
        </w:rPr>
        <w:t xml:space="preserve"> - </w:t>
      </w:r>
      <w:r w:rsidRPr="00D14E04">
        <w:rPr>
          <w:rFonts w:ascii="Times New Roman" w:hAnsi="Times New Roman"/>
          <w:sz w:val="24"/>
          <w:szCs w:val="24"/>
        </w:rPr>
        <w:t xml:space="preserve">цех для производства сухих растительных сливок и растворимого порошкообразного кофе (5 очередь), 1 и 2 этапы на территории Северной части </w:t>
      </w:r>
      <w:proofErr w:type="spellStart"/>
      <w:r w:rsidRPr="00D14E04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04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04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D14E04">
        <w:rPr>
          <w:rFonts w:ascii="Times New Roman" w:hAnsi="Times New Roman"/>
          <w:sz w:val="24"/>
          <w:szCs w:val="24"/>
        </w:rPr>
        <w:t>;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kern w:val="36"/>
          <w:sz w:val="24"/>
          <w:szCs w:val="24"/>
        </w:rPr>
        <w:t>ООО «</w:t>
      </w:r>
      <w:proofErr w:type="spellStart"/>
      <w:r w:rsidRPr="006272DD">
        <w:rPr>
          <w:rFonts w:ascii="Times New Roman" w:hAnsi="Times New Roman"/>
          <w:i/>
          <w:kern w:val="36"/>
          <w:sz w:val="24"/>
          <w:szCs w:val="24"/>
        </w:rPr>
        <w:t>ЛесИнТех</w:t>
      </w:r>
      <w:proofErr w:type="spellEnd"/>
      <w:r w:rsidRPr="006272DD">
        <w:rPr>
          <w:rFonts w:ascii="Times New Roman" w:hAnsi="Times New Roman"/>
          <w:i/>
          <w:kern w:val="36"/>
          <w:sz w:val="24"/>
          <w:szCs w:val="24"/>
        </w:rPr>
        <w:t>»</w:t>
      </w:r>
      <w:r w:rsidRPr="006272DD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6272DD">
        <w:rPr>
          <w:rFonts w:ascii="Times New Roman" w:hAnsi="Times New Roman"/>
          <w:sz w:val="24"/>
          <w:szCs w:val="24"/>
        </w:rPr>
        <w:t>–</w:t>
      </w:r>
      <w:r w:rsidRPr="006272DD">
        <w:rPr>
          <w:rFonts w:ascii="Times New Roman" w:hAnsi="Times New Roman"/>
          <w:kern w:val="36"/>
          <w:sz w:val="24"/>
          <w:szCs w:val="24"/>
        </w:rPr>
        <w:t xml:space="preserve"> строительство складского здания и производственного комплекса по сборке технологического оборудования для лесной промышленности в </w:t>
      </w:r>
      <w:proofErr w:type="spellStart"/>
      <w:r w:rsidRPr="006272DD">
        <w:rPr>
          <w:rFonts w:ascii="Times New Roman" w:hAnsi="Times New Roman"/>
          <w:kern w:val="36"/>
          <w:sz w:val="24"/>
          <w:szCs w:val="24"/>
        </w:rPr>
        <w:t>Лопухинском</w:t>
      </w:r>
      <w:proofErr w:type="spellEnd"/>
      <w:r w:rsidRPr="006272DD">
        <w:rPr>
          <w:rFonts w:ascii="Times New Roman" w:hAnsi="Times New Roman"/>
          <w:kern w:val="36"/>
          <w:sz w:val="24"/>
          <w:szCs w:val="24"/>
        </w:rPr>
        <w:t xml:space="preserve"> сельском поселении</w:t>
      </w:r>
      <w:r w:rsidRPr="006272DD">
        <w:rPr>
          <w:rFonts w:ascii="Times New Roman" w:hAnsi="Times New Roman"/>
          <w:sz w:val="24"/>
          <w:szCs w:val="24"/>
        </w:rPr>
        <w:t>. Создание 100 рабочих мест;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ООО «Торговый дом «Балтийский берег»</w:t>
      </w:r>
      <w:r w:rsidRPr="006272DD">
        <w:rPr>
          <w:rFonts w:ascii="Times New Roman" w:hAnsi="Times New Roman"/>
          <w:sz w:val="24"/>
          <w:szCs w:val="24"/>
        </w:rPr>
        <w:t xml:space="preserve"> – строительство 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272DD">
        <w:rPr>
          <w:rFonts w:ascii="Times New Roman" w:hAnsi="Times New Roman"/>
          <w:sz w:val="24"/>
          <w:szCs w:val="24"/>
        </w:rPr>
        <w:t>логистического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центра, в дальнейшем - перенос производственных мощностей из Санкт-Петербурга и ввод новых мощностей. Более 100 новых рабочих мест;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kern w:val="36"/>
          <w:sz w:val="24"/>
          <w:szCs w:val="24"/>
        </w:rPr>
        <w:t>ООО «</w:t>
      </w:r>
      <w:proofErr w:type="spellStart"/>
      <w:r w:rsidRPr="006272DD">
        <w:rPr>
          <w:rFonts w:ascii="Times New Roman" w:hAnsi="Times New Roman"/>
          <w:i/>
          <w:kern w:val="36"/>
          <w:sz w:val="24"/>
          <w:szCs w:val="24"/>
        </w:rPr>
        <w:t>Экопром</w:t>
      </w:r>
      <w:proofErr w:type="spellEnd"/>
      <w:r w:rsidRPr="006272DD">
        <w:rPr>
          <w:rFonts w:ascii="Times New Roman" w:hAnsi="Times New Roman"/>
          <w:i/>
          <w:kern w:val="36"/>
          <w:sz w:val="24"/>
          <w:szCs w:val="24"/>
        </w:rPr>
        <w:t>» -</w:t>
      </w:r>
      <w:r w:rsidRPr="006272D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6272DD">
        <w:rPr>
          <w:rFonts w:ascii="Times New Roman" w:hAnsi="Times New Roman"/>
          <w:sz w:val="24"/>
          <w:szCs w:val="24"/>
        </w:rPr>
        <w:t xml:space="preserve">расширение выпуска видов инновационной продукции завода по производству пищевых натуральных ингредиентов 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Лаголовского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сельского поселения. Создание 80 рабочих мест;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ООО «Санкт-Петербургский Лифтовой Завод»</w:t>
      </w:r>
      <w:r w:rsidRPr="006272DD">
        <w:rPr>
          <w:rFonts w:ascii="Times New Roman" w:hAnsi="Times New Roman"/>
          <w:b/>
          <w:sz w:val="24"/>
          <w:szCs w:val="24"/>
        </w:rPr>
        <w:t xml:space="preserve"> - </w:t>
      </w:r>
      <w:r w:rsidRPr="006272DD">
        <w:rPr>
          <w:rFonts w:ascii="Times New Roman" w:hAnsi="Times New Roman"/>
          <w:sz w:val="24"/>
          <w:szCs w:val="24"/>
        </w:rPr>
        <w:t xml:space="preserve">производственный комплекс по изготовлению лифтового и подъемно-транспортного оборудования 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Горбунковского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поселения. Создание 100 рабочих мест;</w:t>
      </w:r>
    </w:p>
    <w:p w:rsidR="006272DD" w:rsidRPr="006272DD" w:rsidRDefault="006272DD" w:rsidP="00D14E04">
      <w:pPr>
        <w:pStyle w:val="a6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АО «</w:t>
      </w:r>
      <w:proofErr w:type="spellStart"/>
      <w:r w:rsidRPr="006272DD">
        <w:rPr>
          <w:rFonts w:ascii="Times New Roman" w:hAnsi="Times New Roman"/>
          <w:i/>
          <w:sz w:val="24"/>
          <w:szCs w:val="24"/>
        </w:rPr>
        <w:t>Хакель</w:t>
      </w:r>
      <w:proofErr w:type="spellEnd"/>
      <w:r w:rsidRPr="006272DD">
        <w:rPr>
          <w:rFonts w:ascii="Times New Roman" w:hAnsi="Times New Roman"/>
          <w:i/>
          <w:sz w:val="24"/>
          <w:szCs w:val="24"/>
        </w:rPr>
        <w:t>»</w:t>
      </w:r>
      <w:r w:rsidRPr="006272DD">
        <w:rPr>
          <w:rFonts w:ascii="Times New Roman" w:hAnsi="Times New Roman"/>
          <w:sz w:val="24"/>
          <w:szCs w:val="24"/>
        </w:rPr>
        <w:t xml:space="preserve"> - реализация проекта российского предприятия, разработчика и производителя электротехнического оборудования, устройств заземления и </w:t>
      </w:r>
      <w:proofErr w:type="spellStart"/>
      <w:r w:rsidRPr="006272DD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на территории индустриального парка </w:t>
      </w:r>
      <w:proofErr w:type="spellStart"/>
      <w:r w:rsidRPr="006272DD">
        <w:rPr>
          <w:rFonts w:ascii="Times New Roman" w:hAnsi="Times New Roman"/>
          <w:sz w:val="24"/>
          <w:szCs w:val="24"/>
        </w:rPr>
        <w:t>Гринстрейт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городского поселения. Создание 200 рабочих мест;</w:t>
      </w:r>
    </w:p>
    <w:p w:rsidR="006272DD" w:rsidRPr="006272DD" w:rsidRDefault="006272DD" w:rsidP="00D14E04">
      <w:pPr>
        <w:pStyle w:val="a5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ООО «ЛОГОПАРК ВОЛХОНКА»</w:t>
      </w:r>
      <w:r w:rsidRPr="006272DD">
        <w:rPr>
          <w:rFonts w:ascii="Times New Roman" w:hAnsi="Times New Roman"/>
          <w:b/>
          <w:sz w:val="24"/>
          <w:szCs w:val="24"/>
        </w:rPr>
        <w:t xml:space="preserve"> </w:t>
      </w:r>
      <w:r w:rsidRPr="006272DD">
        <w:rPr>
          <w:rFonts w:ascii="Times New Roman" w:hAnsi="Times New Roman"/>
          <w:sz w:val="24"/>
          <w:szCs w:val="24"/>
        </w:rPr>
        <w:t xml:space="preserve">производственное здание на территории Южной части </w:t>
      </w:r>
    </w:p>
    <w:p w:rsidR="006272DD" w:rsidRPr="006272DD" w:rsidRDefault="006272DD" w:rsidP="00D14E04">
      <w:pPr>
        <w:pStyle w:val="a5"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272DD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6272DD" w:rsidRPr="006272DD" w:rsidRDefault="006272DD" w:rsidP="00D14E04">
      <w:pPr>
        <w:pStyle w:val="a5"/>
        <w:numPr>
          <w:ilvl w:val="0"/>
          <w:numId w:val="62"/>
        </w:numPr>
        <w:spacing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lastRenderedPageBreak/>
        <w:t>ООО «АГРОИМПЭКС» -</w:t>
      </w:r>
      <w:r w:rsidRPr="006272DD">
        <w:rPr>
          <w:rFonts w:ascii="Times New Roman" w:hAnsi="Times New Roman"/>
          <w:b/>
          <w:sz w:val="24"/>
          <w:szCs w:val="24"/>
        </w:rPr>
        <w:t xml:space="preserve"> </w:t>
      </w:r>
      <w:r w:rsidRPr="006272DD">
        <w:rPr>
          <w:rFonts w:ascii="Times New Roman" w:hAnsi="Times New Roman"/>
          <w:sz w:val="24"/>
          <w:szCs w:val="24"/>
        </w:rPr>
        <w:t xml:space="preserve">производственно – складское здание 2 этап на территории </w:t>
      </w:r>
    </w:p>
    <w:p w:rsidR="006272DD" w:rsidRPr="006272DD" w:rsidRDefault="006272DD" w:rsidP="00D14E04">
      <w:pPr>
        <w:pStyle w:val="a5"/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Северной части производственной зоны </w:t>
      </w:r>
      <w:proofErr w:type="spellStart"/>
      <w:r w:rsidRPr="006272DD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D14E04" w:rsidRDefault="006272DD" w:rsidP="00D14E04">
      <w:pPr>
        <w:pStyle w:val="a5"/>
        <w:numPr>
          <w:ilvl w:val="0"/>
          <w:numId w:val="63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E04">
        <w:rPr>
          <w:rFonts w:ascii="Times New Roman" w:hAnsi="Times New Roman"/>
          <w:i/>
          <w:sz w:val="24"/>
          <w:szCs w:val="24"/>
        </w:rPr>
        <w:t>АО «</w:t>
      </w:r>
      <w:proofErr w:type="spellStart"/>
      <w:r w:rsidRPr="00D14E04">
        <w:rPr>
          <w:rFonts w:ascii="Times New Roman" w:hAnsi="Times New Roman"/>
          <w:i/>
          <w:sz w:val="24"/>
          <w:szCs w:val="24"/>
        </w:rPr>
        <w:t>Астрос</w:t>
      </w:r>
      <w:proofErr w:type="spellEnd"/>
      <w:r w:rsidRPr="00D14E04">
        <w:rPr>
          <w:rFonts w:ascii="Times New Roman" w:hAnsi="Times New Roman"/>
          <w:i/>
          <w:sz w:val="24"/>
          <w:szCs w:val="24"/>
        </w:rPr>
        <w:t xml:space="preserve"> Логистик центр»</w:t>
      </w:r>
      <w:r w:rsidRPr="00D14E04">
        <w:rPr>
          <w:rFonts w:ascii="Times New Roman" w:hAnsi="Times New Roman"/>
          <w:sz w:val="24"/>
          <w:szCs w:val="24"/>
        </w:rPr>
        <w:t xml:space="preserve"> - складской комплекс здание № 1, здание № 2 на территории Южной части производственной зоны </w:t>
      </w:r>
      <w:proofErr w:type="spellStart"/>
      <w:r w:rsidRPr="00D14E04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E04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городского поселения, сумма инвестиций</w:t>
      </w:r>
      <w:proofErr w:type="gramStart"/>
      <w:r w:rsidRPr="00D14E0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272DD" w:rsidRPr="00D14E04" w:rsidRDefault="006272DD" w:rsidP="00D14E04">
      <w:pPr>
        <w:pStyle w:val="a5"/>
        <w:numPr>
          <w:ilvl w:val="0"/>
          <w:numId w:val="63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E04">
        <w:rPr>
          <w:rFonts w:ascii="Times New Roman" w:hAnsi="Times New Roman"/>
          <w:i/>
          <w:sz w:val="24"/>
          <w:szCs w:val="24"/>
        </w:rPr>
        <w:t xml:space="preserve">ООО «Графит» - </w:t>
      </w:r>
      <w:r w:rsidRPr="00D14E04">
        <w:rPr>
          <w:rFonts w:ascii="Times New Roman" w:hAnsi="Times New Roman"/>
          <w:sz w:val="24"/>
          <w:szCs w:val="24"/>
        </w:rPr>
        <w:t xml:space="preserve">торгово-развлекательный центр на территории </w:t>
      </w:r>
      <w:proofErr w:type="spellStart"/>
      <w:r w:rsidRPr="00D14E04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D14E04">
        <w:rPr>
          <w:rFonts w:ascii="Times New Roman" w:hAnsi="Times New Roman"/>
          <w:sz w:val="24"/>
          <w:szCs w:val="24"/>
        </w:rPr>
        <w:t xml:space="preserve"> городского поселения (п. </w:t>
      </w:r>
      <w:proofErr w:type="spellStart"/>
      <w:r w:rsidRPr="00D14E04">
        <w:rPr>
          <w:rFonts w:ascii="Times New Roman" w:hAnsi="Times New Roman"/>
          <w:sz w:val="24"/>
          <w:szCs w:val="24"/>
        </w:rPr>
        <w:t>Новогорелово</w:t>
      </w:r>
      <w:proofErr w:type="spellEnd"/>
      <w:r w:rsidRPr="00D14E04">
        <w:rPr>
          <w:rFonts w:ascii="Times New Roman" w:hAnsi="Times New Roman"/>
          <w:sz w:val="24"/>
          <w:szCs w:val="24"/>
        </w:rPr>
        <w:t>).</w:t>
      </w:r>
    </w:p>
    <w:p w:rsidR="006272DD" w:rsidRPr="006272DD" w:rsidRDefault="006272DD" w:rsidP="00D14E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Многие крупные инвестиционные проекты успешно реализованы в индустриальном парке </w:t>
      </w:r>
      <w:proofErr w:type="spellStart"/>
      <w:r w:rsidRPr="006272DD">
        <w:rPr>
          <w:rFonts w:ascii="Times New Roman" w:hAnsi="Times New Roman"/>
          <w:sz w:val="24"/>
          <w:szCs w:val="24"/>
        </w:rPr>
        <w:t>Greenstate</w:t>
      </w:r>
      <w:proofErr w:type="spellEnd"/>
      <w:r w:rsidRPr="006272DD">
        <w:rPr>
          <w:rFonts w:ascii="Times New Roman" w:hAnsi="Times New Roman"/>
          <w:sz w:val="24"/>
          <w:szCs w:val="24"/>
        </w:rPr>
        <w:t>, в котором управляющей компанией «</w:t>
      </w:r>
      <w:proofErr w:type="spellStart"/>
      <w:r w:rsidRPr="006272DD">
        <w:rPr>
          <w:rFonts w:ascii="Times New Roman" w:hAnsi="Times New Roman"/>
          <w:sz w:val="24"/>
          <w:szCs w:val="24"/>
        </w:rPr>
        <w:t>ЮИТ-Санкт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Петербург» созданы благоприятные условия для инвесторов, предоставление земельных участков под размещение объектов осуществляется с обеспечением необходимой современной инженерной инфраструктурой.</w:t>
      </w:r>
    </w:p>
    <w:p w:rsidR="006272DD" w:rsidRPr="006272DD" w:rsidRDefault="006272DD" w:rsidP="00D14E0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2DD">
        <w:rPr>
          <w:rFonts w:ascii="Times New Roman" w:hAnsi="Times New Roman" w:cs="Times New Roman"/>
          <w:b/>
          <w:i/>
          <w:sz w:val="24"/>
          <w:szCs w:val="24"/>
        </w:rPr>
        <w:t>Выданы разрешения на строительство на период 2022-2024 годы:</w:t>
      </w:r>
    </w:p>
    <w:p w:rsidR="006272DD" w:rsidRPr="006272DD" w:rsidRDefault="006272DD" w:rsidP="00D14E04">
      <w:pPr>
        <w:numPr>
          <w:ilvl w:val="0"/>
          <w:numId w:val="65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Производственных объектов:</w:t>
      </w:r>
    </w:p>
    <w:p w:rsidR="00D14E04" w:rsidRPr="00D14E04" w:rsidRDefault="00D14E04" w:rsidP="00D14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E0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272DD" w:rsidRPr="00D14E04">
        <w:rPr>
          <w:rFonts w:ascii="Times New Roman" w:hAnsi="Times New Roman"/>
          <w:sz w:val="24"/>
          <w:szCs w:val="24"/>
        </w:rPr>
        <w:t xml:space="preserve">ООО «ЯКОБС ДАУ ЭГБЕРТС РУС» - «Завода по производству растворимого кофе мощностью 27000 тонн в год на земельном участке 47:14:06020010:53 3, 4, 5, 6, 7 этапы» 3, 4, 5,6 этапы – </w:t>
      </w:r>
      <w:proofErr w:type="spellStart"/>
      <w:r w:rsidR="006272DD" w:rsidRPr="00D14E04">
        <w:rPr>
          <w:rFonts w:ascii="Times New Roman" w:hAnsi="Times New Roman"/>
          <w:sz w:val="24"/>
          <w:szCs w:val="24"/>
        </w:rPr>
        <w:t>Виллозское</w:t>
      </w:r>
      <w:proofErr w:type="spellEnd"/>
      <w:r w:rsidR="006272DD" w:rsidRPr="00D14E04">
        <w:rPr>
          <w:rFonts w:ascii="Times New Roman" w:hAnsi="Times New Roman"/>
          <w:sz w:val="24"/>
          <w:szCs w:val="24"/>
        </w:rPr>
        <w:t xml:space="preserve"> городское поселение, Северная часть производственной зоны </w:t>
      </w:r>
      <w:proofErr w:type="spellStart"/>
      <w:r w:rsidR="006272DD" w:rsidRPr="00D14E04">
        <w:rPr>
          <w:rFonts w:ascii="Times New Roman" w:hAnsi="Times New Roman"/>
          <w:sz w:val="24"/>
          <w:szCs w:val="24"/>
        </w:rPr>
        <w:t>Горелово</w:t>
      </w:r>
      <w:proofErr w:type="spellEnd"/>
      <w:r w:rsidR="006272DD" w:rsidRPr="00D14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72DD" w:rsidRPr="00D14E04">
        <w:rPr>
          <w:rFonts w:ascii="Times New Roman" w:hAnsi="Times New Roman"/>
          <w:sz w:val="24"/>
          <w:szCs w:val="24"/>
        </w:rPr>
        <w:t>Волхонское</w:t>
      </w:r>
      <w:proofErr w:type="spellEnd"/>
      <w:r w:rsidR="006272DD" w:rsidRPr="00D14E04">
        <w:rPr>
          <w:rFonts w:ascii="Times New Roman" w:hAnsi="Times New Roman"/>
          <w:sz w:val="24"/>
          <w:szCs w:val="24"/>
        </w:rPr>
        <w:t xml:space="preserve"> шоссе, квартал 12, д.7/1;</w:t>
      </w:r>
    </w:p>
    <w:p w:rsidR="006272DD" w:rsidRPr="006272DD" w:rsidRDefault="006272DD" w:rsidP="00D14E0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ООО «Глория» - производственного корпуса № 2 производства готовых лекарственных средств и здание склада – </w:t>
      </w:r>
      <w:proofErr w:type="spellStart"/>
      <w:r w:rsidRPr="006272DD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сельское поселение, Производственно-административная зона «Кузнецы», участок 1;</w:t>
      </w:r>
    </w:p>
    <w:p w:rsidR="006272DD" w:rsidRPr="006272DD" w:rsidRDefault="006272DD" w:rsidP="00D14E0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ООО «ВЕРТЕК» - производственного здания АБК на территории индустриального парка «</w:t>
      </w:r>
      <w:proofErr w:type="spellStart"/>
      <w:r w:rsidRPr="006272DD">
        <w:rPr>
          <w:rFonts w:ascii="Times New Roman" w:hAnsi="Times New Roman"/>
          <w:sz w:val="24"/>
          <w:szCs w:val="24"/>
        </w:rPr>
        <w:t>Гринстейт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Виллозском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городском поселении;</w:t>
      </w:r>
    </w:p>
    <w:p w:rsidR="006272DD" w:rsidRPr="006272DD" w:rsidRDefault="006272DD" w:rsidP="00D14E04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ООО «ТРИЭР - СПБ» - строительство комплекса по производству сухих пищевых смесей на территории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272DD" w:rsidRPr="006272DD" w:rsidRDefault="006272DD" w:rsidP="00D14E0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Непроизводственных объектов: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ООО «Проект 111» - складского комплекса –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городское поселение, Офицерское село, </w:t>
      </w:r>
      <w:proofErr w:type="spellStart"/>
      <w:r w:rsidRPr="006272DD">
        <w:rPr>
          <w:rFonts w:ascii="Times New Roman" w:hAnsi="Times New Roman"/>
          <w:sz w:val="24"/>
          <w:szCs w:val="24"/>
        </w:rPr>
        <w:t>Волхонское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ш</w:t>
      </w:r>
      <w:proofErr w:type="spellEnd"/>
      <w:r w:rsidRPr="006272DD">
        <w:rPr>
          <w:rFonts w:ascii="Times New Roman" w:hAnsi="Times New Roman"/>
          <w:sz w:val="24"/>
          <w:szCs w:val="24"/>
        </w:rPr>
        <w:t>., д.4;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АО «СПЕЦМАШ» - производственно-складского комплекса –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городское поселение, тер. Южная часть производственной зоны </w:t>
      </w:r>
      <w:proofErr w:type="spellStart"/>
      <w:r w:rsidRPr="006272DD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2DD">
        <w:rPr>
          <w:rFonts w:ascii="Times New Roman" w:hAnsi="Times New Roman"/>
          <w:sz w:val="24"/>
          <w:szCs w:val="24"/>
        </w:rPr>
        <w:t>Волхонское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2DD">
        <w:rPr>
          <w:rFonts w:ascii="Times New Roman" w:hAnsi="Times New Roman"/>
          <w:sz w:val="24"/>
          <w:szCs w:val="24"/>
        </w:rPr>
        <w:t>ш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272DD">
        <w:rPr>
          <w:rFonts w:ascii="Times New Roman" w:hAnsi="Times New Roman"/>
          <w:sz w:val="24"/>
          <w:szCs w:val="24"/>
        </w:rPr>
        <w:t>з</w:t>
      </w:r>
      <w:proofErr w:type="spellEnd"/>
      <w:r w:rsidRPr="006272DD">
        <w:rPr>
          <w:rFonts w:ascii="Times New Roman" w:hAnsi="Times New Roman"/>
          <w:sz w:val="24"/>
          <w:szCs w:val="24"/>
        </w:rPr>
        <w:t>/у 5;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ООО «</w:t>
      </w:r>
      <w:proofErr w:type="spellStart"/>
      <w:r w:rsidRPr="006272DD">
        <w:rPr>
          <w:rFonts w:ascii="Times New Roman" w:hAnsi="Times New Roman"/>
          <w:sz w:val="24"/>
          <w:szCs w:val="24"/>
        </w:rPr>
        <w:t>Техноберинг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6272DD">
        <w:rPr>
          <w:rFonts w:ascii="Times New Roman" w:hAnsi="Times New Roman"/>
          <w:sz w:val="24"/>
          <w:szCs w:val="24"/>
        </w:rPr>
        <w:t>офисно-складского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комплекса -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городское поселение;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АО «</w:t>
      </w:r>
      <w:proofErr w:type="spellStart"/>
      <w:r w:rsidRPr="006272DD">
        <w:rPr>
          <w:rFonts w:ascii="Times New Roman" w:hAnsi="Times New Roman"/>
          <w:sz w:val="24"/>
          <w:szCs w:val="24"/>
        </w:rPr>
        <w:t>Астрос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Логистик Центр» - складского комплекса (здание 1, здание 2) –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городское поселение, территория Южная часть производственной зоны </w:t>
      </w:r>
      <w:proofErr w:type="spellStart"/>
      <w:r w:rsidRPr="006272DD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6272DD">
        <w:rPr>
          <w:rFonts w:ascii="Times New Roman" w:hAnsi="Times New Roman"/>
          <w:sz w:val="24"/>
          <w:szCs w:val="24"/>
        </w:rPr>
        <w:t>, улица 6, земельный участок 5;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ООО «НОВО-ОЙЛ» - автозаправочной станции формата М - Аннинское городское поселение, п. Новоселье, Красносельское шоссе, участок 28а.</w:t>
      </w:r>
    </w:p>
    <w:p w:rsidR="006272DD" w:rsidRPr="006272DD" w:rsidRDefault="006272DD" w:rsidP="00D14E04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272DD">
        <w:rPr>
          <w:rFonts w:ascii="Times New Roman" w:hAnsi="Times New Roman"/>
          <w:i/>
          <w:sz w:val="24"/>
          <w:szCs w:val="24"/>
        </w:rPr>
        <w:t>Объектов розничной торговли: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>ООО "</w:t>
      </w:r>
      <w:proofErr w:type="spellStart"/>
      <w:r w:rsidRPr="006272DD">
        <w:rPr>
          <w:rFonts w:ascii="Times New Roman" w:hAnsi="Times New Roman"/>
          <w:sz w:val="24"/>
          <w:szCs w:val="24"/>
        </w:rPr>
        <w:t>ЛенСтрой</w:t>
      </w:r>
      <w:proofErr w:type="spellEnd"/>
      <w:r w:rsidRPr="006272DD">
        <w:rPr>
          <w:rFonts w:ascii="Times New Roman" w:hAnsi="Times New Roman"/>
          <w:sz w:val="24"/>
          <w:szCs w:val="24"/>
        </w:rPr>
        <w:t>" - магазина шаговой доступности - Аннинское городское поселение, п. Новоселье, Красносельское шоссе, участок 9.</w:t>
      </w:r>
    </w:p>
    <w:p w:rsidR="006272DD" w:rsidRPr="006272DD" w:rsidRDefault="006272DD" w:rsidP="00D14E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2DD">
        <w:rPr>
          <w:rFonts w:ascii="Times New Roman" w:hAnsi="Times New Roman"/>
          <w:sz w:val="24"/>
          <w:szCs w:val="24"/>
        </w:rPr>
        <w:t xml:space="preserve">Торгово-развлекательного центра в п. </w:t>
      </w:r>
      <w:proofErr w:type="spellStart"/>
      <w:r w:rsidRPr="006272DD">
        <w:rPr>
          <w:rFonts w:ascii="Times New Roman" w:hAnsi="Times New Roman"/>
          <w:sz w:val="24"/>
          <w:szCs w:val="24"/>
        </w:rPr>
        <w:t>Новогорелово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2D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6272DD">
        <w:rPr>
          <w:rFonts w:ascii="Times New Roman" w:hAnsi="Times New Roman"/>
          <w:sz w:val="24"/>
          <w:szCs w:val="24"/>
        </w:rPr>
        <w:t xml:space="preserve"> городского поселения, застройщик – ООО «Графит».</w:t>
      </w:r>
    </w:p>
    <w:p w:rsidR="006272DD" w:rsidRPr="006272DD" w:rsidRDefault="006272DD" w:rsidP="00B95FEF">
      <w:pPr>
        <w:pStyle w:val="a5"/>
        <w:ind w:firstLine="709"/>
        <w:jc w:val="both"/>
        <w:rPr>
          <w:rFonts w:ascii="Times New Roman" w:hAnsi="Times New Roman"/>
          <w:szCs w:val="20"/>
        </w:rPr>
      </w:pPr>
      <w:proofErr w:type="gramStart"/>
      <w:r w:rsidRPr="006272DD">
        <w:rPr>
          <w:rFonts w:ascii="Times New Roman" w:hAnsi="Times New Roman" w:cs="Times New Roman"/>
          <w:sz w:val="24"/>
          <w:szCs w:val="24"/>
        </w:rPr>
        <w:t>Активное участие поселений в государственных программах</w:t>
      </w:r>
      <w:r w:rsidRPr="00627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72DD">
        <w:rPr>
          <w:rFonts w:ascii="Times New Roman" w:hAnsi="Times New Roman" w:cs="Times New Roman"/>
          <w:sz w:val="24"/>
          <w:szCs w:val="24"/>
        </w:rPr>
        <w:t>позволяет привлечь дополнительные средства из областного и федерального бюджетов, в том числе на строительство объектов социальной сферы.</w:t>
      </w:r>
      <w:proofErr w:type="gramEnd"/>
    </w:p>
    <w:p w:rsidR="006272DD" w:rsidRPr="00D14E04" w:rsidRDefault="006272DD" w:rsidP="006272DD">
      <w:pPr>
        <w:pStyle w:val="a5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D14E04">
        <w:rPr>
          <w:rFonts w:ascii="Times New Roman" w:eastAsia="Calibri" w:hAnsi="Times New Roman" w:cs="Times New Roman"/>
          <w:sz w:val="24"/>
          <w:szCs w:val="20"/>
        </w:rPr>
        <w:lastRenderedPageBreak/>
        <w:t>Активное участие поселений в государственных программах</w:t>
      </w:r>
      <w:r w:rsidRPr="00D14E04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 </w:t>
      </w:r>
      <w:r w:rsidRPr="00D14E04">
        <w:rPr>
          <w:rFonts w:ascii="Times New Roman" w:eastAsia="Calibri" w:hAnsi="Times New Roman" w:cs="Times New Roman"/>
          <w:sz w:val="24"/>
          <w:szCs w:val="20"/>
        </w:rPr>
        <w:t>позволяет привлечь дополнительные средства из областного и федерального бюджетов, в том числе на строительство</w:t>
      </w:r>
      <w:r w:rsidRPr="00D14E04">
        <w:rPr>
          <w:rFonts w:ascii="Times New Roman" w:hAnsi="Times New Roman" w:cs="Times New Roman"/>
          <w:sz w:val="24"/>
          <w:szCs w:val="20"/>
        </w:rPr>
        <w:t xml:space="preserve"> </w:t>
      </w:r>
      <w:r w:rsidRPr="00D14E04">
        <w:rPr>
          <w:rFonts w:ascii="Times New Roman" w:eastAsia="Calibri" w:hAnsi="Times New Roman" w:cs="Times New Roman"/>
          <w:sz w:val="24"/>
          <w:szCs w:val="20"/>
        </w:rPr>
        <w:t>объектов социальной сферы.</w:t>
      </w:r>
      <w:proofErr w:type="gramEnd"/>
    </w:p>
    <w:p w:rsidR="006272DD" w:rsidRPr="00D14E04" w:rsidRDefault="006272DD" w:rsidP="006272DD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4E04">
        <w:rPr>
          <w:rFonts w:ascii="Times New Roman" w:eastAsia="Calibri" w:hAnsi="Times New Roman" w:cs="Times New Roman"/>
          <w:sz w:val="24"/>
          <w:szCs w:val="20"/>
        </w:rPr>
        <w:t xml:space="preserve">Для дальнейшего сбалансированного развития территории района, привлечения новых инвесторов администрацией района внедрены основные положения Муниципального инвестиционного стандарта, разработан Инвестиционный Паспорт района, подготовлена актуальная информация для инвесторов  и размещена на сайте </w:t>
      </w:r>
      <w:proofErr w:type="spellStart"/>
      <w:r w:rsidRPr="00D14E04">
        <w:rPr>
          <w:rFonts w:ascii="Times New Roman" w:eastAsia="Calibri" w:hAnsi="Times New Roman" w:cs="Times New Roman"/>
          <w:sz w:val="24"/>
          <w:szCs w:val="20"/>
          <w:lang w:val="en-US"/>
        </w:rPr>
        <w:t>lenoblinvest</w:t>
      </w:r>
      <w:proofErr w:type="spellEnd"/>
      <w:r w:rsidRPr="00D14E04">
        <w:rPr>
          <w:rFonts w:ascii="Times New Roman" w:eastAsia="Calibri" w:hAnsi="Times New Roman" w:cs="Times New Roman"/>
          <w:sz w:val="24"/>
          <w:szCs w:val="20"/>
        </w:rPr>
        <w:t>.</w:t>
      </w:r>
      <w:proofErr w:type="spellStart"/>
      <w:r w:rsidRPr="00D14E04">
        <w:rPr>
          <w:rFonts w:ascii="Times New Roman" w:eastAsia="Calibri" w:hAnsi="Times New Roman" w:cs="Times New Roman"/>
          <w:sz w:val="24"/>
          <w:szCs w:val="20"/>
          <w:lang w:val="en-US"/>
        </w:rPr>
        <w:t>ru</w:t>
      </w:r>
      <w:proofErr w:type="spellEnd"/>
      <w:r w:rsidRPr="00D14E04">
        <w:rPr>
          <w:rFonts w:ascii="Times New Roman" w:eastAsia="Calibri" w:hAnsi="Times New Roman" w:cs="Times New Roman"/>
          <w:sz w:val="24"/>
          <w:szCs w:val="20"/>
        </w:rPr>
        <w:t xml:space="preserve"> в соответствии с заключенным Соглашением об информационном обмене с Государственным казенным учреждением «Агентство экономического развития Ленинградской области».</w:t>
      </w:r>
    </w:p>
    <w:p w:rsidR="00150AB3" w:rsidRPr="003A1787" w:rsidRDefault="00150AB3" w:rsidP="003A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CCA" w:rsidRPr="00150AB3" w:rsidRDefault="00206CCA" w:rsidP="003A17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6FA">
        <w:rPr>
          <w:rFonts w:ascii="Times New Roman" w:hAnsi="Times New Roman"/>
          <w:b/>
          <w:sz w:val="24"/>
          <w:szCs w:val="24"/>
        </w:rPr>
        <w:t>п.4.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0F19D1" w:rsidRPr="00EA06FA">
        <w:rPr>
          <w:rFonts w:ascii="Times New Roman" w:hAnsi="Times New Roman"/>
          <w:b/>
          <w:sz w:val="24"/>
          <w:szCs w:val="24"/>
        </w:rPr>
        <w:t>:</w:t>
      </w:r>
    </w:p>
    <w:p w:rsidR="00150AB3" w:rsidRDefault="00206CCA" w:rsidP="00150AB3">
      <w:pPr>
        <w:pStyle w:val="ab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</w:t>
      </w:r>
      <w:r w:rsidR="00EA06FA">
        <w:rPr>
          <w:rFonts w:ascii="Times New Roman" w:hAnsi="Times New Roman"/>
          <w:sz w:val="24"/>
          <w:szCs w:val="24"/>
        </w:rPr>
        <w:t>20</w:t>
      </w:r>
      <w:r w:rsidRPr="00150AB3">
        <w:rPr>
          <w:rFonts w:ascii="Times New Roman" w:hAnsi="Times New Roman"/>
          <w:sz w:val="24"/>
          <w:szCs w:val="24"/>
        </w:rPr>
        <w:t xml:space="preserve"> году – 58%</w:t>
      </w:r>
      <w:r w:rsidR="00150AB3">
        <w:rPr>
          <w:rFonts w:ascii="Times New Roman" w:hAnsi="Times New Roman"/>
          <w:sz w:val="24"/>
          <w:szCs w:val="24"/>
        </w:rPr>
        <w:t>;</w:t>
      </w:r>
    </w:p>
    <w:p w:rsidR="00150AB3" w:rsidRDefault="00206CCA" w:rsidP="003A1787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EA06FA">
        <w:rPr>
          <w:rFonts w:ascii="Times New Roman" w:hAnsi="Times New Roman"/>
          <w:sz w:val="24"/>
          <w:szCs w:val="24"/>
        </w:rPr>
        <w:t>9</w:t>
      </w:r>
      <w:r w:rsidRPr="00150AB3">
        <w:rPr>
          <w:rFonts w:ascii="Times New Roman" w:hAnsi="Times New Roman"/>
          <w:sz w:val="24"/>
          <w:szCs w:val="24"/>
        </w:rPr>
        <w:t xml:space="preserve"> году –</w:t>
      </w:r>
      <w:r w:rsidR="00EA06FA">
        <w:rPr>
          <w:rFonts w:ascii="Times New Roman" w:hAnsi="Times New Roman"/>
          <w:sz w:val="24"/>
          <w:szCs w:val="24"/>
        </w:rPr>
        <w:t>58</w:t>
      </w:r>
      <w:r w:rsidRPr="00150AB3">
        <w:rPr>
          <w:rFonts w:ascii="Times New Roman" w:hAnsi="Times New Roman"/>
          <w:sz w:val="24"/>
          <w:szCs w:val="24"/>
        </w:rPr>
        <w:t>%</w:t>
      </w:r>
      <w:r w:rsidR="00150AB3" w:rsidRPr="00150AB3">
        <w:rPr>
          <w:rFonts w:ascii="Times New Roman" w:hAnsi="Times New Roman"/>
          <w:sz w:val="24"/>
          <w:szCs w:val="24"/>
        </w:rPr>
        <w:t>;</w:t>
      </w:r>
    </w:p>
    <w:p w:rsidR="00150AB3" w:rsidRDefault="00206CCA" w:rsidP="00150AB3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фактические значения за отчётный 202</w:t>
      </w:r>
      <w:r w:rsidR="00EA06FA">
        <w:rPr>
          <w:rFonts w:ascii="Times New Roman" w:hAnsi="Times New Roman"/>
          <w:sz w:val="24"/>
          <w:szCs w:val="24"/>
        </w:rPr>
        <w:t>1</w:t>
      </w:r>
      <w:r w:rsidRPr="00150AB3">
        <w:rPr>
          <w:rFonts w:ascii="Times New Roman" w:hAnsi="Times New Roman"/>
          <w:sz w:val="24"/>
          <w:szCs w:val="24"/>
        </w:rPr>
        <w:t xml:space="preserve"> год – </w:t>
      </w:r>
      <w:r w:rsidR="00EA06FA">
        <w:rPr>
          <w:rFonts w:ascii="Times New Roman" w:hAnsi="Times New Roman"/>
          <w:sz w:val="24"/>
          <w:szCs w:val="24"/>
        </w:rPr>
        <w:t>61</w:t>
      </w:r>
      <w:r w:rsidRPr="00150AB3">
        <w:rPr>
          <w:rFonts w:ascii="Times New Roman" w:hAnsi="Times New Roman"/>
          <w:sz w:val="24"/>
          <w:szCs w:val="24"/>
        </w:rPr>
        <w:t>%</w:t>
      </w:r>
      <w:r w:rsidR="00150AB3">
        <w:rPr>
          <w:rFonts w:ascii="Times New Roman" w:hAnsi="Times New Roman"/>
          <w:sz w:val="24"/>
          <w:szCs w:val="24"/>
        </w:rPr>
        <w:t>;</w:t>
      </w:r>
    </w:p>
    <w:p w:rsidR="00206CCA" w:rsidRPr="00150AB3" w:rsidRDefault="00206CCA" w:rsidP="00150AB3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206CCA" w:rsidRPr="003A1787" w:rsidRDefault="00206CCA" w:rsidP="00150AB3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EA06FA">
        <w:rPr>
          <w:rFonts w:ascii="Times New Roman" w:hAnsi="Times New Roman"/>
          <w:sz w:val="24"/>
          <w:szCs w:val="24"/>
        </w:rPr>
        <w:t>2</w:t>
      </w:r>
      <w:r w:rsidRPr="003A1787">
        <w:rPr>
          <w:rFonts w:ascii="Times New Roman" w:hAnsi="Times New Roman"/>
          <w:sz w:val="24"/>
          <w:szCs w:val="24"/>
        </w:rPr>
        <w:t xml:space="preserve"> году – </w:t>
      </w:r>
      <w:r w:rsidR="00EA06FA">
        <w:rPr>
          <w:rFonts w:ascii="Times New Roman" w:hAnsi="Times New Roman"/>
          <w:sz w:val="24"/>
          <w:szCs w:val="24"/>
        </w:rPr>
        <w:t>62</w:t>
      </w:r>
      <w:r w:rsidRPr="003A1787">
        <w:rPr>
          <w:rFonts w:ascii="Times New Roman" w:hAnsi="Times New Roman"/>
          <w:sz w:val="24"/>
          <w:szCs w:val="24"/>
        </w:rPr>
        <w:t>%</w:t>
      </w:r>
      <w:r w:rsidR="00150AB3">
        <w:rPr>
          <w:rFonts w:ascii="Times New Roman" w:hAnsi="Times New Roman"/>
          <w:sz w:val="24"/>
          <w:szCs w:val="24"/>
        </w:rPr>
        <w:t>;</w:t>
      </w:r>
    </w:p>
    <w:p w:rsidR="00206CCA" w:rsidRPr="003A1787" w:rsidRDefault="00206CCA" w:rsidP="00150AB3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EA06FA"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 xml:space="preserve"> году – 6</w:t>
      </w:r>
      <w:r w:rsidR="00EA06FA"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>%</w:t>
      </w:r>
      <w:r w:rsidR="00150AB3">
        <w:rPr>
          <w:rFonts w:ascii="Times New Roman" w:hAnsi="Times New Roman"/>
          <w:sz w:val="24"/>
          <w:szCs w:val="24"/>
        </w:rPr>
        <w:t>;</w:t>
      </w:r>
    </w:p>
    <w:p w:rsidR="00206CCA" w:rsidRDefault="00206CCA" w:rsidP="00150AB3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EA06FA"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 xml:space="preserve"> году – 6</w:t>
      </w:r>
      <w:r w:rsidR="00EA06FA">
        <w:rPr>
          <w:rFonts w:ascii="Times New Roman" w:hAnsi="Times New Roman"/>
          <w:sz w:val="24"/>
          <w:szCs w:val="24"/>
        </w:rPr>
        <w:t>6</w:t>
      </w:r>
      <w:r w:rsidRPr="003A1787">
        <w:rPr>
          <w:rFonts w:ascii="Times New Roman" w:hAnsi="Times New Roman"/>
          <w:sz w:val="24"/>
          <w:szCs w:val="24"/>
        </w:rPr>
        <w:t>%.</w:t>
      </w:r>
    </w:p>
    <w:p w:rsidR="006272DD" w:rsidRPr="003A1787" w:rsidRDefault="006272DD" w:rsidP="00150AB3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2DD" w:rsidRPr="003A1787" w:rsidRDefault="006272DD" w:rsidP="006272D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1787">
        <w:rPr>
          <w:rFonts w:ascii="Times New Roman" w:hAnsi="Times New Roman" w:cs="Times New Roman"/>
          <w:b/>
          <w:sz w:val="24"/>
          <w:szCs w:val="24"/>
        </w:rPr>
        <w:t xml:space="preserve"> Доля прибыльных сельскохозяйственных </w:t>
      </w:r>
      <w:proofErr w:type="gramStart"/>
      <w:r w:rsidRPr="003A1787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3A1787">
        <w:rPr>
          <w:rFonts w:ascii="Times New Roman" w:hAnsi="Times New Roman" w:cs="Times New Roman"/>
          <w:b/>
          <w:sz w:val="24"/>
          <w:szCs w:val="24"/>
        </w:rPr>
        <w:t xml:space="preserve"> в общем их числе:</w:t>
      </w:r>
    </w:p>
    <w:p w:rsidR="006272DD" w:rsidRDefault="006272DD" w:rsidP="006272DD">
      <w:pPr>
        <w:pStyle w:val="a5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 году,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100%;</w:t>
      </w:r>
    </w:p>
    <w:p w:rsidR="006272DD" w:rsidRDefault="006272DD" w:rsidP="006272DD">
      <w:pPr>
        <w:pStyle w:val="a5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50AB3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</w:t>
      </w:r>
      <w:r w:rsidRPr="00FB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150AB3">
        <w:rPr>
          <w:rFonts w:ascii="Times New Roman" w:hAnsi="Times New Roman" w:cs="Times New Roman"/>
          <w:sz w:val="24"/>
          <w:szCs w:val="24"/>
        </w:rPr>
        <w:t>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0AB3">
        <w:rPr>
          <w:rFonts w:ascii="Times New Roman" w:hAnsi="Times New Roman" w:cs="Times New Roman"/>
          <w:sz w:val="24"/>
          <w:szCs w:val="24"/>
        </w:rPr>
        <w:t xml:space="preserve"> году – 100%;</w:t>
      </w:r>
    </w:p>
    <w:p w:rsidR="006272DD" w:rsidRDefault="006272DD" w:rsidP="006272DD">
      <w:pPr>
        <w:pStyle w:val="a5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50AB3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0AB3">
        <w:rPr>
          <w:rFonts w:ascii="Times New Roman" w:hAnsi="Times New Roman" w:cs="Times New Roman"/>
          <w:sz w:val="24"/>
          <w:szCs w:val="24"/>
        </w:rPr>
        <w:t xml:space="preserve"> год – 100%;</w:t>
      </w:r>
    </w:p>
    <w:p w:rsidR="006272DD" w:rsidRPr="00150AB3" w:rsidRDefault="006272DD" w:rsidP="006272DD">
      <w:pPr>
        <w:pStyle w:val="a5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50AB3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6272DD" w:rsidRPr="003A1787" w:rsidRDefault="006272DD" w:rsidP="006272DD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100%;</w:t>
      </w:r>
    </w:p>
    <w:p w:rsidR="006272DD" w:rsidRPr="003A1787" w:rsidRDefault="006272DD" w:rsidP="006272DD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100%;</w:t>
      </w:r>
    </w:p>
    <w:p w:rsidR="006272DD" w:rsidRPr="003A1787" w:rsidRDefault="006272DD" w:rsidP="006272DD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100%.</w:t>
      </w:r>
    </w:p>
    <w:p w:rsidR="006272DD" w:rsidRPr="003A1787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Структура агропромышленного комплекса Ломоносовского района представлена:</w:t>
      </w:r>
    </w:p>
    <w:p w:rsidR="006272DD" w:rsidRDefault="006272DD" w:rsidP="006272D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13 сельскохозяйственных предприятий;</w:t>
      </w:r>
    </w:p>
    <w:p w:rsidR="006272DD" w:rsidRDefault="006272DD" w:rsidP="006272D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производственными и обслуживающими предприятиями;</w:t>
      </w:r>
    </w:p>
    <w:p w:rsidR="006272DD" w:rsidRPr="00150AB3" w:rsidRDefault="006272DD" w:rsidP="006272D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AB3">
        <w:rPr>
          <w:rFonts w:ascii="Times New Roman" w:hAnsi="Times New Roman"/>
          <w:sz w:val="24"/>
          <w:szCs w:val="24"/>
        </w:rPr>
        <w:t>20 крестьянских (фермерских) хозяйств.</w:t>
      </w:r>
    </w:p>
    <w:p w:rsidR="006272DD" w:rsidRPr="003A1787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Основные направления деятельности: в животноводстве - производство молока и мяса, в растениеводстве – производство зерна, овощей и картофеля.</w:t>
      </w:r>
    </w:p>
    <w:p w:rsidR="006272DD" w:rsidRPr="00150AB3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272DD" w:rsidRPr="003A1787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A1787">
        <w:rPr>
          <w:rFonts w:ascii="Times New Roman" w:hAnsi="Times New Roman"/>
          <w:b/>
          <w:i/>
          <w:sz w:val="24"/>
          <w:szCs w:val="24"/>
        </w:rPr>
        <w:t>Динамика показателей молочного животноводства:</w:t>
      </w:r>
    </w:p>
    <w:p w:rsidR="006272DD" w:rsidRPr="00150AB3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aa"/>
        <w:tblW w:w="0" w:type="auto"/>
        <w:jc w:val="center"/>
        <w:tblLook w:val="04A0"/>
      </w:tblPr>
      <w:tblGrid>
        <w:gridCol w:w="3652"/>
        <w:gridCol w:w="1539"/>
        <w:gridCol w:w="1438"/>
        <w:gridCol w:w="1417"/>
        <w:gridCol w:w="1525"/>
      </w:tblGrid>
      <w:tr w:rsidR="006272DD" w:rsidRPr="00150AB3" w:rsidTr="00B95FEF">
        <w:trPr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+/- к прошлому году</w:t>
            </w:r>
          </w:p>
        </w:tc>
      </w:tr>
      <w:tr w:rsidR="006272DD" w:rsidRPr="00150AB3" w:rsidTr="00B95FEF">
        <w:trPr>
          <w:trHeight w:val="352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Всего КРС</w:t>
            </w:r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8278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8599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8759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6272DD" w:rsidRPr="00150AB3" w:rsidTr="00B95FEF">
        <w:trPr>
          <w:trHeight w:val="427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Поголовье коров, головы</w:t>
            </w:r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3789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3958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272DD" w:rsidRPr="00150AB3" w:rsidTr="00B95FEF">
        <w:trPr>
          <w:trHeight w:val="419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Производство молока, </w:t>
            </w:r>
            <w:proofErr w:type="spellStart"/>
            <w:r w:rsidRPr="00150AB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334416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356537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374761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18224</w:t>
            </w:r>
          </w:p>
        </w:tc>
      </w:tr>
      <w:tr w:rsidR="006272DD" w:rsidRPr="00150AB3" w:rsidTr="00B95FEF">
        <w:trPr>
          <w:trHeight w:val="411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Надой на 1 фуражную корову,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9117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9385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6272DD" w:rsidRPr="00150AB3" w:rsidTr="00B95FEF">
        <w:trPr>
          <w:trHeight w:val="418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Реализация молока физ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50AB3">
              <w:rPr>
                <w:rFonts w:ascii="Times New Roman" w:hAnsi="Times New Roman"/>
                <w:sz w:val="20"/>
                <w:szCs w:val="20"/>
              </w:rPr>
              <w:t xml:space="preserve">ес, </w:t>
            </w:r>
            <w:proofErr w:type="spellStart"/>
            <w:r w:rsidRPr="00150AB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312629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335524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349090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13566</w:t>
            </w:r>
          </w:p>
        </w:tc>
      </w:tr>
    </w:tbl>
    <w:p w:rsidR="006272DD" w:rsidRPr="00150AB3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272DD" w:rsidRPr="003A1787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A1787">
        <w:rPr>
          <w:rFonts w:ascii="Times New Roman" w:hAnsi="Times New Roman"/>
          <w:b/>
          <w:i/>
          <w:sz w:val="24"/>
          <w:szCs w:val="24"/>
        </w:rPr>
        <w:lastRenderedPageBreak/>
        <w:t>Динамика показателей растениеводства:</w:t>
      </w:r>
    </w:p>
    <w:p w:rsidR="006272DD" w:rsidRPr="00150AB3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aa"/>
        <w:tblW w:w="0" w:type="auto"/>
        <w:jc w:val="center"/>
        <w:tblLook w:val="04A0"/>
      </w:tblPr>
      <w:tblGrid>
        <w:gridCol w:w="3652"/>
        <w:gridCol w:w="1539"/>
        <w:gridCol w:w="1438"/>
        <w:gridCol w:w="1417"/>
        <w:gridCol w:w="1525"/>
      </w:tblGrid>
      <w:tr w:rsidR="006272DD" w:rsidRPr="00150AB3" w:rsidTr="00B95FEF">
        <w:trPr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AB3">
              <w:rPr>
                <w:rFonts w:ascii="Times New Roman" w:hAnsi="Times New Roman"/>
                <w:b/>
                <w:sz w:val="20"/>
                <w:szCs w:val="20"/>
              </w:rPr>
              <w:t>+/- к прошлому году</w:t>
            </w:r>
          </w:p>
        </w:tc>
      </w:tr>
      <w:tr w:rsidR="006272DD" w:rsidRPr="00150AB3" w:rsidTr="00B95FEF">
        <w:trPr>
          <w:trHeight w:val="352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Зерновые,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6272DD" w:rsidRPr="00150AB3" w:rsidTr="00B95FEF">
        <w:trPr>
          <w:trHeight w:val="427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Овощи,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6272DD" w:rsidRPr="00150AB3" w:rsidTr="00B95FEF">
        <w:trPr>
          <w:trHeight w:val="419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38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2DD" w:rsidRPr="00150AB3" w:rsidTr="00B95FEF">
        <w:trPr>
          <w:trHeight w:val="411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Кормовые культуры,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10098</w:t>
            </w:r>
          </w:p>
        </w:tc>
        <w:tc>
          <w:tcPr>
            <w:tcW w:w="1438" w:type="dxa"/>
            <w:vAlign w:val="center"/>
          </w:tcPr>
          <w:p w:rsidR="006272DD" w:rsidRPr="00937505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9986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9397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-589</w:t>
            </w:r>
          </w:p>
        </w:tc>
      </w:tr>
      <w:tr w:rsidR="006272DD" w:rsidRPr="00150AB3" w:rsidTr="00B95FEF">
        <w:trPr>
          <w:trHeight w:val="418"/>
          <w:jc w:val="center"/>
        </w:trPr>
        <w:tc>
          <w:tcPr>
            <w:tcW w:w="3652" w:type="dxa"/>
          </w:tcPr>
          <w:p w:rsidR="006272DD" w:rsidRPr="00150AB3" w:rsidRDefault="006272DD" w:rsidP="00B95F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 xml:space="preserve">Посевные площади всего, </w:t>
            </w:r>
            <w:proofErr w:type="gramStart"/>
            <w:r w:rsidRPr="00150AB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39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13090</w:t>
            </w:r>
          </w:p>
        </w:tc>
        <w:tc>
          <w:tcPr>
            <w:tcW w:w="1438" w:type="dxa"/>
            <w:vAlign w:val="center"/>
          </w:tcPr>
          <w:p w:rsidR="006272DD" w:rsidRPr="00937505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AB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</w:t>
            </w:r>
          </w:p>
        </w:tc>
        <w:tc>
          <w:tcPr>
            <w:tcW w:w="1417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12694</w:t>
            </w:r>
          </w:p>
        </w:tc>
        <w:tc>
          <w:tcPr>
            <w:tcW w:w="1525" w:type="dxa"/>
            <w:vAlign w:val="center"/>
          </w:tcPr>
          <w:p w:rsidR="006272DD" w:rsidRPr="00150AB3" w:rsidRDefault="006272DD" w:rsidP="00B95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-669</w:t>
            </w:r>
          </w:p>
        </w:tc>
      </w:tr>
    </w:tbl>
    <w:p w:rsidR="006272DD" w:rsidRPr="00150AB3" w:rsidRDefault="006272DD" w:rsidP="006272DD">
      <w:pPr>
        <w:pStyle w:val="a5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72DD" w:rsidRPr="00BB4CAD" w:rsidRDefault="006272DD" w:rsidP="006272D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на предприятиях агропромышленного комплекса Ломоносовского района остается стабильной</w:t>
      </w:r>
      <w:r w:rsidRPr="00BB4CAD">
        <w:rPr>
          <w:rFonts w:ascii="Times New Roman" w:hAnsi="Times New Roman"/>
          <w:sz w:val="24"/>
          <w:szCs w:val="24"/>
        </w:rPr>
        <w:t>.  Выручка от реализации продукции и услуг сельского хозяйства за 2021 год составила</w:t>
      </w:r>
      <w:r w:rsidRPr="00BB4C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4CAD">
        <w:rPr>
          <w:rFonts w:ascii="Times New Roman" w:hAnsi="Times New Roman"/>
          <w:sz w:val="24"/>
          <w:szCs w:val="24"/>
        </w:rPr>
        <w:t xml:space="preserve">2,5 млрд. рублей.  </w:t>
      </w:r>
      <w:r w:rsidRPr="00BB4CAD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BB4CAD">
        <w:rPr>
          <w:rFonts w:ascii="Times New Roman" w:hAnsi="Times New Roman"/>
          <w:sz w:val="24"/>
          <w:szCs w:val="24"/>
        </w:rPr>
        <w:t>реднесписочная</w:t>
      </w:r>
      <w:proofErr w:type="spellEnd"/>
      <w:r w:rsidRPr="00BB4CAD">
        <w:rPr>
          <w:rFonts w:ascii="Times New Roman" w:hAnsi="Times New Roman"/>
          <w:sz w:val="24"/>
          <w:szCs w:val="24"/>
        </w:rPr>
        <w:t xml:space="preserve"> численность работающих в сельском хозяйстве </w:t>
      </w:r>
      <w:proofErr w:type="gramStart"/>
      <w:r w:rsidRPr="00BB4CAD">
        <w:rPr>
          <w:rFonts w:ascii="Times New Roman" w:hAnsi="Times New Roman"/>
          <w:sz w:val="24"/>
          <w:szCs w:val="24"/>
        </w:rPr>
        <w:t>насчитывает  930</w:t>
      </w:r>
      <w:proofErr w:type="gramEnd"/>
      <w:r w:rsidRPr="00BB4CAD">
        <w:rPr>
          <w:rFonts w:ascii="Times New Roman" w:hAnsi="Times New Roman"/>
          <w:sz w:val="24"/>
          <w:szCs w:val="24"/>
        </w:rPr>
        <w:t xml:space="preserve"> человек. Среднемесячная зарплата</w:t>
      </w:r>
      <w:r w:rsidRPr="00BB4CAD">
        <w:rPr>
          <w:rFonts w:ascii="Times New Roman" w:hAnsi="Times New Roman"/>
          <w:b/>
          <w:sz w:val="24"/>
          <w:szCs w:val="24"/>
        </w:rPr>
        <w:t xml:space="preserve"> </w:t>
      </w:r>
      <w:r w:rsidRPr="00BB4CAD">
        <w:rPr>
          <w:rFonts w:ascii="Times New Roman" w:hAnsi="Times New Roman"/>
          <w:sz w:val="24"/>
          <w:szCs w:val="24"/>
        </w:rPr>
        <w:t>составила</w:t>
      </w:r>
      <w:r w:rsidRPr="00BB4C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4CAD">
        <w:rPr>
          <w:rFonts w:ascii="Times New Roman" w:hAnsi="Times New Roman"/>
          <w:sz w:val="24"/>
          <w:szCs w:val="24"/>
        </w:rPr>
        <w:t xml:space="preserve">38000 рублей. </w:t>
      </w:r>
    </w:p>
    <w:p w:rsidR="006272DD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за 2021 год сельскохозяйственными предприятиями района произведено:</w:t>
      </w:r>
    </w:p>
    <w:p w:rsidR="006272DD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зерна - 9,4 тыс. тонн;</w:t>
      </w:r>
    </w:p>
    <w:p w:rsidR="006272DD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картофеля – 2,8 тыс. тонн;</w:t>
      </w:r>
    </w:p>
    <w:p w:rsidR="006272DD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овощей – 14,1 тыс. тонн.</w:t>
      </w:r>
    </w:p>
    <w:p w:rsidR="006272DD" w:rsidRPr="00B861C0" w:rsidRDefault="006272DD" w:rsidP="006272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Надо отметить, что все сельхозпредприятия, в том числе и крестьянские (фермерские) хозяйства, постоянно ведут техническое переоснащение производства и обновление парка сельскохозяйственной техники.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Так, в текущем году АО «Красносельское» за счет собственных сре</w:t>
      </w:r>
      <w:proofErr w:type="gramStart"/>
      <w:r w:rsidRPr="00B861C0">
        <w:rPr>
          <w:rFonts w:ascii="Times New Roman" w:hAnsi="Times New Roman"/>
          <w:sz w:val="24"/>
          <w:szCs w:val="24"/>
        </w:rPr>
        <w:t>дств пр</w:t>
      </w:r>
      <w:proofErr w:type="gramEnd"/>
      <w:r w:rsidRPr="00B861C0">
        <w:rPr>
          <w:rFonts w:ascii="Times New Roman" w:hAnsi="Times New Roman"/>
          <w:sz w:val="24"/>
          <w:szCs w:val="24"/>
        </w:rPr>
        <w:t>оведены  работы по капитальному ремонту двух животноводческих дворов молочно-товарной фермы.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АО «Победа» проведена реконструкция и модернизация тепличного комплекса. В планах электрификация и газификация теплиц.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Увеличено поголовье коров в ЗАО «</w:t>
      </w:r>
      <w:proofErr w:type="spellStart"/>
      <w:r w:rsidRPr="00B861C0">
        <w:rPr>
          <w:rFonts w:ascii="Times New Roman" w:hAnsi="Times New Roman"/>
          <w:sz w:val="24"/>
          <w:szCs w:val="24"/>
        </w:rPr>
        <w:t>Предпортовый</w:t>
      </w:r>
      <w:proofErr w:type="spellEnd"/>
      <w:r w:rsidRPr="00B861C0">
        <w:rPr>
          <w:rFonts w:ascii="Times New Roman" w:hAnsi="Times New Roman"/>
          <w:sz w:val="24"/>
          <w:szCs w:val="24"/>
        </w:rPr>
        <w:t xml:space="preserve">». На 1 января 2022 года оно составило 620 голов, это на 52 головы больше, чем было на начало года. 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За отчетный период сельскохозяйственными предприятиями района приобретено техники на 132,1 млн. рублей: тракторов всех марок 10 единиц, 1 зерноуборочный комбайн, 1 кормоуборочный комбайн, 36 единиц прочей техники.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1C0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B861C0">
        <w:rPr>
          <w:rFonts w:ascii="Times New Roman" w:hAnsi="Times New Roman"/>
          <w:sz w:val="24"/>
          <w:szCs w:val="24"/>
        </w:rPr>
        <w:t xml:space="preserve"> Ломоносовского района являются участниками программы «Комплексное развитие сельских территорий». В 2021 году в рамках этой программы в АО «ПЗ «Красная Балтика», АО «Кипень», АО «Победа» произведены работы по капитальному ремонту автомобильных дорог, связывающих объекты сельскохозяйственного назначения между собой. 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 xml:space="preserve">Сохранение стабильности, рост производства в отрасли достигаются благодаря государственной поддержке. В 2021 году из федерального и областного бюджетов сельскохозяйственными товаропроизводителями  района получено  276,9 млн. рублей. В рамках муниципальной программы «Развитие сельского хозяйства в Ломоносовском муниципальном районе» поддержка </w:t>
      </w:r>
      <w:proofErr w:type="spellStart"/>
      <w:r w:rsidRPr="00B861C0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B861C0">
        <w:rPr>
          <w:rFonts w:ascii="Times New Roman" w:hAnsi="Times New Roman"/>
          <w:sz w:val="24"/>
          <w:szCs w:val="24"/>
        </w:rPr>
        <w:t xml:space="preserve"> составила 5,0 млн. рублей.  </w:t>
      </w:r>
    </w:p>
    <w:p w:rsidR="006272DD" w:rsidRPr="00B861C0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861C0">
        <w:rPr>
          <w:rFonts w:ascii="Times New Roman" w:hAnsi="Times New Roman"/>
          <w:sz w:val="24"/>
          <w:szCs w:val="24"/>
        </w:rPr>
        <w:t>Сельскохозяйственными предприятиями района в 2021 году уплачено налогов и сборов в бюджеты всех уровней более 300,0 млн. рублей.</w:t>
      </w:r>
    </w:p>
    <w:p w:rsidR="006272DD" w:rsidRPr="003A1787" w:rsidRDefault="006272DD" w:rsidP="006272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3985">
        <w:rPr>
          <w:rFonts w:ascii="Times New Roman" w:hAnsi="Times New Roman"/>
          <w:sz w:val="24"/>
          <w:szCs w:val="24"/>
        </w:rPr>
        <w:t xml:space="preserve">Малые формы хозяйствования также стабильно развиваются. </w:t>
      </w:r>
      <w:r w:rsidRPr="003A1787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разные:</w:t>
      </w:r>
      <w:r w:rsidRPr="003A1787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и переработка молока, производство продовольственного картофеля, овощей,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ягод, </w:t>
      </w:r>
      <w:r w:rsidRPr="003A1787">
        <w:rPr>
          <w:rFonts w:ascii="Times New Roman" w:hAnsi="Times New Roman"/>
          <w:color w:val="000000" w:themeColor="text1"/>
          <w:sz w:val="24"/>
          <w:szCs w:val="24"/>
        </w:rPr>
        <w:t xml:space="preserve">выращивание саженцев плодовых деревьев, </w:t>
      </w:r>
      <w:r w:rsidRPr="003A1787">
        <w:rPr>
          <w:rFonts w:ascii="Times New Roman" w:hAnsi="Times New Roman"/>
          <w:color w:val="000000" w:themeColor="text1"/>
          <w:sz w:val="24"/>
          <w:szCs w:val="24"/>
        </w:rPr>
        <w:lastRenderedPageBreak/>
        <w:t>кустарников и земляники, разведение и выращивание птицы, кроликов, крупного и мелкого рогатого скота, племенных пород лошадей.</w:t>
      </w:r>
    </w:p>
    <w:p w:rsidR="006272DD" w:rsidRPr="00A23985" w:rsidRDefault="006272DD" w:rsidP="006272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23985">
        <w:rPr>
          <w:rFonts w:ascii="Times New Roman" w:hAnsi="Times New Roman"/>
          <w:sz w:val="24"/>
          <w:szCs w:val="24"/>
        </w:rPr>
        <w:t>Фермеры</w:t>
      </w:r>
      <w:r>
        <w:rPr>
          <w:rFonts w:ascii="Times New Roman" w:hAnsi="Times New Roman"/>
          <w:sz w:val="24"/>
          <w:szCs w:val="24"/>
        </w:rPr>
        <w:t xml:space="preserve"> активно </w:t>
      </w:r>
      <w:r w:rsidRPr="00A23985">
        <w:rPr>
          <w:rFonts w:ascii="Times New Roman" w:hAnsi="Times New Roman"/>
          <w:sz w:val="24"/>
          <w:szCs w:val="24"/>
        </w:rPr>
        <w:t xml:space="preserve"> участвуют в конкурсах на получение грантов. Так в 2021 году 2 фермера района стали победителями конкурса «Ленинградский фермер». Крестьянское (фермерское) хозяйство Анисимовой Д. В. на 181 га будет заниматься разведением  герефордской пород</w:t>
      </w:r>
      <w:r>
        <w:rPr>
          <w:rFonts w:ascii="Times New Roman" w:hAnsi="Times New Roman"/>
          <w:sz w:val="24"/>
          <w:szCs w:val="24"/>
        </w:rPr>
        <w:t>ы</w:t>
      </w:r>
      <w:r w:rsidRPr="00A23985">
        <w:rPr>
          <w:rFonts w:ascii="Times New Roman" w:hAnsi="Times New Roman"/>
          <w:sz w:val="24"/>
          <w:szCs w:val="24"/>
        </w:rPr>
        <w:t xml:space="preserve"> крупного рогатого скота мясного направления. В планах </w:t>
      </w:r>
      <w:proofErr w:type="gramStart"/>
      <w:r w:rsidRPr="00A23985">
        <w:rPr>
          <w:rFonts w:ascii="Times New Roman" w:hAnsi="Times New Roman"/>
          <w:sz w:val="24"/>
          <w:szCs w:val="24"/>
        </w:rPr>
        <w:t>К(</w:t>
      </w:r>
      <w:proofErr w:type="gramEnd"/>
      <w:r w:rsidRPr="00A23985">
        <w:rPr>
          <w:rFonts w:ascii="Times New Roman" w:hAnsi="Times New Roman"/>
          <w:sz w:val="24"/>
          <w:szCs w:val="24"/>
        </w:rPr>
        <w:t xml:space="preserve">Ф)Х </w:t>
      </w:r>
      <w:proofErr w:type="spellStart"/>
      <w:r w:rsidRPr="00A23985">
        <w:rPr>
          <w:rFonts w:ascii="Times New Roman" w:hAnsi="Times New Roman"/>
          <w:sz w:val="24"/>
          <w:szCs w:val="24"/>
        </w:rPr>
        <w:t>Рошка</w:t>
      </w:r>
      <w:proofErr w:type="spellEnd"/>
      <w:r w:rsidRPr="00A23985">
        <w:rPr>
          <w:rFonts w:ascii="Times New Roman" w:hAnsi="Times New Roman"/>
          <w:sz w:val="24"/>
          <w:szCs w:val="24"/>
        </w:rPr>
        <w:t xml:space="preserve"> Г. Е. выращивание голубики на площади 1 га..Сумма грантов составила по 5,0 млн. рублей. </w:t>
      </w:r>
      <w:proofErr w:type="gramStart"/>
      <w:r w:rsidRPr="00A23985">
        <w:rPr>
          <w:rFonts w:ascii="Times New Roman" w:hAnsi="Times New Roman"/>
          <w:sz w:val="24"/>
          <w:szCs w:val="24"/>
        </w:rPr>
        <w:t>К(</w:t>
      </w:r>
      <w:proofErr w:type="gramEnd"/>
      <w:r w:rsidRPr="00A23985">
        <w:rPr>
          <w:rFonts w:ascii="Times New Roman" w:hAnsi="Times New Roman"/>
          <w:sz w:val="24"/>
          <w:szCs w:val="24"/>
        </w:rPr>
        <w:t>Ф)Х Алимова Р.В.получило грант на «Развитие семейной фермы». Средства будут потрачены на приобретение техники и оборудования для растениеводства. Сумма гранта -12,1 млн. рублей.</w:t>
      </w:r>
    </w:p>
    <w:p w:rsidR="006272DD" w:rsidRDefault="006272DD" w:rsidP="00AB0F3C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2201D" w:rsidRPr="003A1787" w:rsidRDefault="0002201D" w:rsidP="0002201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12">
        <w:rPr>
          <w:rFonts w:ascii="Times New Roman" w:hAnsi="Times New Roman" w:cs="Times New Roman"/>
          <w:b/>
          <w:sz w:val="24"/>
          <w:szCs w:val="24"/>
        </w:rPr>
        <w:t>п.6.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</w:r>
    </w:p>
    <w:p w:rsidR="008A2DA7" w:rsidRPr="003A1787" w:rsidRDefault="008A2DA7" w:rsidP="008A2DA7">
      <w:pPr>
        <w:pStyle w:val="a5"/>
        <w:numPr>
          <w:ilvl w:val="0"/>
          <w:numId w:val="1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B95FEF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95FEF">
        <w:rPr>
          <w:rFonts w:ascii="Times New Roman" w:hAnsi="Times New Roman" w:cs="Times New Roman"/>
          <w:sz w:val="24"/>
          <w:szCs w:val="24"/>
        </w:rPr>
        <w:t>7,44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DA7" w:rsidRPr="003A1787" w:rsidRDefault="008A2DA7" w:rsidP="008A2DA7">
      <w:pPr>
        <w:pStyle w:val="a5"/>
        <w:numPr>
          <w:ilvl w:val="0"/>
          <w:numId w:val="1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B95FEF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95FEF">
        <w:rPr>
          <w:rFonts w:ascii="Times New Roman" w:hAnsi="Times New Roman" w:cs="Times New Roman"/>
          <w:sz w:val="24"/>
          <w:szCs w:val="24"/>
        </w:rPr>
        <w:t>26</w:t>
      </w:r>
      <w:r w:rsidR="002356F4">
        <w:rPr>
          <w:rFonts w:ascii="Times New Roman" w:hAnsi="Times New Roman" w:cs="Times New Roman"/>
          <w:sz w:val="24"/>
          <w:szCs w:val="24"/>
        </w:rPr>
        <w:t>,00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DA7" w:rsidRPr="003A1787" w:rsidRDefault="008A2DA7" w:rsidP="008A2DA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B95FEF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356F4">
        <w:rPr>
          <w:rFonts w:ascii="Times New Roman" w:hAnsi="Times New Roman" w:cs="Times New Roman"/>
          <w:sz w:val="24"/>
          <w:szCs w:val="24"/>
        </w:rPr>
        <w:t>30,05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DA7" w:rsidRPr="003A1787" w:rsidRDefault="008A2DA7" w:rsidP="008A2DA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8A2DA7" w:rsidRPr="003A1787" w:rsidRDefault="008A2DA7" w:rsidP="008A2DA7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AF4612" w:rsidRPr="00AF4612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356F4">
        <w:rPr>
          <w:rFonts w:ascii="Times New Roman" w:hAnsi="Times New Roman" w:cs="Times New Roman"/>
          <w:sz w:val="24"/>
          <w:szCs w:val="24"/>
        </w:rPr>
        <w:t>30,03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DA7" w:rsidRPr="003A1787" w:rsidRDefault="008A2DA7" w:rsidP="008A2DA7">
      <w:pPr>
        <w:pStyle w:val="a5"/>
        <w:ind w:left="1415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AF4612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356F4">
        <w:rPr>
          <w:rFonts w:ascii="Times New Roman" w:hAnsi="Times New Roman" w:cs="Times New Roman"/>
          <w:sz w:val="24"/>
          <w:szCs w:val="24"/>
        </w:rPr>
        <w:t>30,01</w:t>
      </w:r>
      <w:r w:rsidRPr="003A1787">
        <w:rPr>
          <w:rFonts w:ascii="Times New Roman" w:hAnsi="Times New Roman" w:cs="Times New Roman"/>
          <w:sz w:val="24"/>
          <w:szCs w:val="24"/>
        </w:rPr>
        <w:t>%;</w:t>
      </w:r>
    </w:p>
    <w:p w:rsidR="008A2DA7" w:rsidRPr="003A1787" w:rsidRDefault="008A2DA7" w:rsidP="008A2DA7">
      <w:pPr>
        <w:pStyle w:val="a5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AF4612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356F4" w:rsidRPr="006048CA">
        <w:rPr>
          <w:rFonts w:ascii="Times New Roman" w:hAnsi="Times New Roman" w:cs="Times New Roman"/>
          <w:sz w:val="24"/>
          <w:szCs w:val="24"/>
        </w:rPr>
        <w:t>30</w:t>
      </w:r>
      <w:r w:rsidR="002356F4">
        <w:rPr>
          <w:rFonts w:ascii="Times New Roman" w:hAnsi="Times New Roman" w:cs="Times New Roman"/>
          <w:sz w:val="24"/>
          <w:szCs w:val="24"/>
        </w:rPr>
        <w:t>,00</w:t>
      </w:r>
      <w:r w:rsidRPr="003A1787">
        <w:rPr>
          <w:rFonts w:ascii="Times New Roman" w:hAnsi="Times New Roman" w:cs="Times New Roman"/>
          <w:sz w:val="24"/>
          <w:szCs w:val="24"/>
        </w:rPr>
        <w:t>%.</w:t>
      </w:r>
    </w:p>
    <w:p w:rsidR="0002201D" w:rsidRPr="00AB0F3C" w:rsidRDefault="0002201D" w:rsidP="00AB0F3C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17259" w:rsidRPr="00617259" w:rsidRDefault="00617259" w:rsidP="0061725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F6D8E">
        <w:rPr>
          <w:rFonts w:ascii="Times New Roman" w:hAnsi="Times New Roman"/>
          <w:b/>
          <w:sz w:val="24"/>
          <w:szCs w:val="24"/>
        </w:rPr>
        <w:t>п.7</w:t>
      </w:r>
      <w:r w:rsidR="006F5919" w:rsidRPr="00CF6D8E">
        <w:rPr>
          <w:rFonts w:ascii="Times New Roman" w:hAnsi="Times New Roman"/>
          <w:b/>
          <w:sz w:val="24"/>
          <w:szCs w:val="24"/>
        </w:rPr>
        <w:t>.</w:t>
      </w:r>
      <w:r w:rsidRPr="00CF6D8E">
        <w:rPr>
          <w:rFonts w:ascii="Times New Roman" w:hAnsi="Times New Roman"/>
          <w:b/>
          <w:sz w:val="24"/>
          <w:szCs w:val="24"/>
        </w:rPr>
        <w:t xml:space="preserve"> Доля населения, проживающего в населенных пунктах, не имеющих регулярного автобусного и (или) железнодорожного сообщения</w:t>
      </w:r>
      <w:r w:rsidR="00AB0F3C" w:rsidRPr="00CF6D8E">
        <w:rPr>
          <w:rFonts w:ascii="Times New Roman" w:hAnsi="Times New Roman"/>
          <w:b/>
          <w:sz w:val="24"/>
          <w:szCs w:val="24"/>
        </w:rPr>
        <w:t xml:space="preserve"> </w:t>
      </w:r>
      <w:r w:rsidRPr="00CF6D8E">
        <w:rPr>
          <w:rFonts w:ascii="Times New Roman" w:hAnsi="Times New Roman"/>
          <w:b/>
          <w:sz w:val="24"/>
          <w:szCs w:val="24"/>
        </w:rPr>
        <w:t>с административным центром городского округа (муниципального района),</w:t>
      </w:r>
      <w:r w:rsidR="00AB0F3C" w:rsidRPr="00CF6D8E">
        <w:rPr>
          <w:rFonts w:ascii="Times New Roman" w:hAnsi="Times New Roman"/>
          <w:b/>
          <w:sz w:val="24"/>
          <w:szCs w:val="24"/>
        </w:rPr>
        <w:t xml:space="preserve"> </w:t>
      </w:r>
      <w:r w:rsidRPr="00CF6D8E">
        <w:rPr>
          <w:rFonts w:ascii="Times New Roman" w:hAnsi="Times New Roman"/>
          <w:b/>
          <w:sz w:val="24"/>
          <w:szCs w:val="24"/>
        </w:rPr>
        <w:t>в общей численности населения городского округа (муниципального района)</w:t>
      </w:r>
      <w:r w:rsidRPr="00CF6D8E">
        <w:rPr>
          <w:rFonts w:ascii="Times New Roman" w:hAnsi="Times New Roman"/>
          <w:sz w:val="24"/>
          <w:szCs w:val="24"/>
        </w:rPr>
        <w:t>:</w:t>
      </w:r>
    </w:p>
    <w:p w:rsidR="00AB0F3C" w:rsidRDefault="00617259" w:rsidP="00617259">
      <w:pPr>
        <w:pStyle w:val="1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F3C">
        <w:rPr>
          <w:rFonts w:ascii="Times New Roman" w:hAnsi="Times New Roman"/>
          <w:sz w:val="24"/>
          <w:szCs w:val="24"/>
        </w:rPr>
        <w:t>фактические значения за год, пред</w:t>
      </w:r>
      <w:r w:rsidR="00CF6D8E">
        <w:rPr>
          <w:rFonts w:ascii="Times New Roman" w:hAnsi="Times New Roman"/>
          <w:sz w:val="24"/>
          <w:szCs w:val="24"/>
        </w:rPr>
        <w:t>шествующий отчетному 2020 году</w:t>
      </w:r>
      <w:r w:rsidRPr="00AB0F3C">
        <w:rPr>
          <w:rFonts w:ascii="Times New Roman" w:hAnsi="Times New Roman"/>
          <w:sz w:val="24"/>
          <w:szCs w:val="24"/>
        </w:rPr>
        <w:t xml:space="preserve"> – 0,07%</w:t>
      </w:r>
      <w:r w:rsidR="00AB0F3C" w:rsidRPr="00AB0F3C">
        <w:rPr>
          <w:rFonts w:ascii="Times New Roman" w:hAnsi="Times New Roman"/>
          <w:sz w:val="24"/>
          <w:szCs w:val="24"/>
        </w:rPr>
        <w:t>;</w:t>
      </w:r>
    </w:p>
    <w:p w:rsidR="00AB0F3C" w:rsidRDefault="00617259" w:rsidP="00617259">
      <w:pPr>
        <w:pStyle w:val="1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F3C">
        <w:rPr>
          <w:rFonts w:ascii="Times New Roman" w:hAnsi="Times New Roman"/>
          <w:sz w:val="24"/>
          <w:szCs w:val="24"/>
        </w:rPr>
        <w:t>фактические значения за год, пре</w:t>
      </w:r>
      <w:r w:rsidR="00CF6D8E">
        <w:rPr>
          <w:rFonts w:ascii="Times New Roman" w:hAnsi="Times New Roman"/>
          <w:sz w:val="24"/>
          <w:szCs w:val="24"/>
        </w:rPr>
        <w:t>дшествующий на 2 года отчетному</w:t>
      </w:r>
      <w:r w:rsidRPr="00AB0F3C">
        <w:rPr>
          <w:rFonts w:ascii="Times New Roman" w:hAnsi="Times New Roman"/>
          <w:sz w:val="24"/>
          <w:szCs w:val="24"/>
        </w:rPr>
        <w:t>, в 201</w:t>
      </w:r>
      <w:r w:rsidR="00CF6D8E">
        <w:rPr>
          <w:rFonts w:ascii="Times New Roman" w:hAnsi="Times New Roman"/>
          <w:sz w:val="24"/>
          <w:szCs w:val="24"/>
        </w:rPr>
        <w:t>9</w:t>
      </w:r>
      <w:r w:rsidRPr="00AB0F3C">
        <w:rPr>
          <w:rFonts w:ascii="Times New Roman" w:hAnsi="Times New Roman"/>
          <w:sz w:val="24"/>
          <w:szCs w:val="24"/>
        </w:rPr>
        <w:t xml:space="preserve"> году – 0,07%</w:t>
      </w:r>
      <w:r w:rsidR="00AB0F3C" w:rsidRPr="00AB0F3C">
        <w:rPr>
          <w:rFonts w:ascii="Times New Roman" w:hAnsi="Times New Roman"/>
          <w:sz w:val="24"/>
          <w:szCs w:val="24"/>
        </w:rPr>
        <w:t>;</w:t>
      </w:r>
    </w:p>
    <w:p w:rsidR="00AB0F3C" w:rsidRDefault="00617259" w:rsidP="00AB0F3C">
      <w:pPr>
        <w:pStyle w:val="1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F3C">
        <w:rPr>
          <w:rFonts w:ascii="Times New Roman" w:hAnsi="Times New Roman"/>
          <w:sz w:val="24"/>
          <w:szCs w:val="24"/>
        </w:rPr>
        <w:t>фактические значен</w:t>
      </w:r>
      <w:r w:rsidR="00AB0F3C">
        <w:rPr>
          <w:rFonts w:ascii="Times New Roman" w:hAnsi="Times New Roman"/>
          <w:sz w:val="24"/>
          <w:szCs w:val="24"/>
        </w:rPr>
        <w:t>ия за отчетный 202</w:t>
      </w:r>
      <w:r w:rsidR="00CF6D8E">
        <w:rPr>
          <w:rFonts w:ascii="Times New Roman" w:hAnsi="Times New Roman"/>
          <w:sz w:val="24"/>
          <w:szCs w:val="24"/>
        </w:rPr>
        <w:t>1</w:t>
      </w:r>
      <w:r w:rsidR="00AB0F3C">
        <w:rPr>
          <w:rFonts w:ascii="Times New Roman" w:hAnsi="Times New Roman"/>
          <w:sz w:val="24"/>
          <w:szCs w:val="24"/>
        </w:rPr>
        <w:t xml:space="preserve"> год – 0,07%;</w:t>
      </w:r>
    </w:p>
    <w:p w:rsidR="00617259" w:rsidRPr="00AB0F3C" w:rsidRDefault="00617259" w:rsidP="00AB0F3C">
      <w:pPr>
        <w:pStyle w:val="1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F3C">
        <w:rPr>
          <w:rFonts w:ascii="Times New Roman" w:hAnsi="Times New Roman"/>
          <w:sz w:val="24"/>
          <w:szCs w:val="24"/>
        </w:rPr>
        <w:t>планируемые</w:t>
      </w:r>
      <w:r w:rsidR="00AB0F3C">
        <w:rPr>
          <w:rFonts w:ascii="Times New Roman" w:hAnsi="Times New Roman"/>
          <w:sz w:val="24"/>
          <w:szCs w:val="24"/>
        </w:rPr>
        <w:t xml:space="preserve"> значения на трехлетний период:</w:t>
      </w:r>
    </w:p>
    <w:p w:rsidR="00617259" w:rsidRPr="00617259" w:rsidRDefault="00617259" w:rsidP="00AB0F3C">
      <w:pPr>
        <w:pStyle w:val="1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617259">
        <w:rPr>
          <w:rFonts w:ascii="Times New Roman" w:hAnsi="Times New Roman"/>
          <w:sz w:val="24"/>
          <w:szCs w:val="24"/>
        </w:rPr>
        <w:t>202</w:t>
      </w:r>
      <w:r w:rsidR="00CF6D8E">
        <w:rPr>
          <w:rFonts w:ascii="Times New Roman" w:hAnsi="Times New Roman"/>
          <w:sz w:val="24"/>
          <w:szCs w:val="24"/>
        </w:rPr>
        <w:t>2</w:t>
      </w:r>
      <w:r w:rsidRPr="00617259">
        <w:rPr>
          <w:rFonts w:ascii="Times New Roman" w:hAnsi="Times New Roman"/>
          <w:sz w:val="24"/>
          <w:szCs w:val="24"/>
        </w:rPr>
        <w:t xml:space="preserve"> год – 0,07%</w:t>
      </w:r>
      <w:r w:rsidR="00AB0F3C">
        <w:rPr>
          <w:rFonts w:ascii="Times New Roman" w:hAnsi="Times New Roman"/>
          <w:sz w:val="24"/>
          <w:szCs w:val="24"/>
        </w:rPr>
        <w:t>;</w:t>
      </w:r>
    </w:p>
    <w:p w:rsidR="00617259" w:rsidRPr="00617259" w:rsidRDefault="00617259" w:rsidP="00AB0F3C">
      <w:pPr>
        <w:pStyle w:val="1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617259">
        <w:rPr>
          <w:rFonts w:ascii="Times New Roman" w:hAnsi="Times New Roman"/>
          <w:sz w:val="24"/>
          <w:szCs w:val="24"/>
        </w:rPr>
        <w:t>202</w:t>
      </w:r>
      <w:r w:rsidR="00CF6D8E">
        <w:rPr>
          <w:rFonts w:ascii="Times New Roman" w:hAnsi="Times New Roman"/>
          <w:sz w:val="24"/>
          <w:szCs w:val="24"/>
        </w:rPr>
        <w:t>3</w:t>
      </w:r>
      <w:r w:rsidRPr="00617259">
        <w:rPr>
          <w:rFonts w:ascii="Times New Roman" w:hAnsi="Times New Roman"/>
          <w:sz w:val="24"/>
          <w:szCs w:val="24"/>
        </w:rPr>
        <w:t xml:space="preserve"> год – 0,07%</w:t>
      </w:r>
      <w:r w:rsidR="00AB0F3C">
        <w:rPr>
          <w:rFonts w:ascii="Times New Roman" w:hAnsi="Times New Roman"/>
          <w:sz w:val="24"/>
          <w:szCs w:val="24"/>
        </w:rPr>
        <w:t>;</w:t>
      </w:r>
    </w:p>
    <w:p w:rsidR="00617259" w:rsidRPr="00617259" w:rsidRDefault="00617259" w:rsidP="00AB0F3C">
      <w:pPr>
        <w:pStyle w:val="1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617259">
        <w:rPr>
          <w:rFonts w:ascii="Times New Roman" w:hAnsi="Times New Roman"/>
          <w:sz w:val="24"/>
          <w:szCs w:val="24"/>
        </w:rPr>
        <w:t>202</w:t>
      </w:r>
      <w:r w:rsidR="00CF6D8E">
        <w:rPr>
          <w:rFonts w:ascii="Times New Roman" w:hAnsi="Times New Roman"/>
          <w:sz w:val="24"/>
          <w:szCs w:val="24"/>
        </w:rPr>
        <w:t>4</w:t>
      </w:r>
      <w:r w:rsidRPr="00617259">
        <w:rPr>
          <w:rFonts w:ascii="Times New Roman" w:hAnsi="Times New Roman"/>
          <w:sz w:val="24"/>
          <w:szCs w:val="24"/>
        </w:rPr>
        <w:t xml:space="preserve"> год – 0,07%.</w:t>
      </w:r>
    </w:p>
    <w:p w:rsidR="00617259" w:rsidRPr="00617259" w:rsidRDefault="00617259" w:rsidP="0061725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17259">
        <w:rPr>
          <w:rFonts w:ascii="Times New Roman" w:hAnsi="Times New Roman"/>
          <w:sz w:val="24"/>
          <w:szCs w:val="24"/>
        </w:rPr>
        <w:t>В связи с ростом многоквартирного жилищного строительства, соответственно, развитием дорожной инфраструктуры и транспортной доступности, за последние годы наблюдается рост численности населения, проживающего в населенных пунктах с обеспеченным регулярным транспортным сообщением.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Ломоносовского муниципального района, в общей численности населения Ломоносовского муниципального района» в 202</w:t>
      </w:r>
      <w:r w:rsidR="00E97D86">
        <w:rPr>
          <w:rFonts w:ascii="Times New Roman" w:hAnsi="Times New Roman"/>
          <w:sz w:val="24"/>
          <w:szCs w:val="24"/>
        </w:rPr>
        <w:t>1</w:t>
      </w:r>
      <w:r w:rsidRPr="00617259">
        <w:rPr>
          <w:rFonts w:ascii="Times New Roman" w:hAnsi="Times New Roman"/>
          <w:sz w:val="24"/>
          <w:szCs w:val="24"/>
        </w:rPr>
        <w:t xml:space="preserve"> году составил 0,07% в общей численности населения муниципального района. </w:t>
      </w:r>
    </w:p>
    <w:p w:rsidR="00304433" w:rsidRPr="00617259" w:rsidRDefault="00304433" w:rsidP="00617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D7">
        <w:rPr>
          <w:rFonts w:ascii="Times New Roman" w:hAnsi="Times New Roman" w:cs="Times New Roman"/>
          <w:b/>
          <w:sz w:val="24"/>
          <w:szCs w:val="24"/>
        </w:rPr>
        <w:t>п.8 Среднемесячная номинальная начисленная заработная плата работников: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17D7">
        <w:rPr>
          <w:rFonts w:ascii="Times New Roman" w:hAnsi="Times New Roman" w:cs="Times New Roman"/>
          <w:b/>
          <w:sz w:val="24"/>
          <w:szCs w:val="24"/>
        </w:rPr>
        <w:t>рупных и средних предприятий и некоммерческих организаций</w:t>
      </w:r>
      <w:r w:rsidRPr="004417D7">
        <w:rPr>
          <w:rFonts w:ascii="Times New Roman" w:hAnsi="Times New Roman" w:cs="Times New Roman"/>
          <w:sz w:val="24"/>
          <w:szCs w:val="24"/>
        </w:rPr>
        <w:t>: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- крупных и средних предприятий и некоммерческих организаций: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- фактические значения за год, предшествующий отчётному году, в 2020 году – 70328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7D7">
        <w:rPr>
          <w:rFonts w:ascii="Times New Roman" w:hAnsi="Times New Roman" w:cs="Times New Roman"/>
          <w:sz w:val="24"/>
          <w:szCs w:val="24"/>
        </w:rPr>
        <w:t>руб.;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lastRenderedPageBreak/>
        <w:t>- фактические значения за год, предшествующий на 2 года отчётному году, в 2019 году – 70291 руб.;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- фактические значения за отчётный 2021 год – 77646 руб., темп роста 110% к 2020 году;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- планируемые значения на 3-х летний период: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2022году – 78275 руб. (темп роста 100,8% к предыдущему году);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2023 году – 83754 руб. (темп роста 107,0% к предыдущему году);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2024  году – 83754 руб. (темп роста 106,6% к предыдущему году).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Ломоносовский муниципальный район соответствует региональному профилю занятости по доминирующему сектору экономики – обрабатывающей промышленности.</w:t>
      </w:r>
    </w:p>
    <w:p w:rsidR="004417D7" w:rsidRPr="004417D7" w:rsidRDefault="004417D7" w:rsidP="004417D7">
      <w:pPr>
        <w:pStyle w:val="a5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7D7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крупных и средних организаций (хозяйственный ОКВЭД) составляет 17,4 тыс. чел., в том </w:t>
      </w:r>
      <w:proofErr w:type="gramStart"/>
      <w:r w:rsidRPr="004417D7">
        <w:rPr>
          <w:rFonts w:ascii="Times New Roman" w:hAnsi="Times New Roman"/>
          <w:sz w:val="24"/>
          <w:szCs w:val="24"/>
        </w:rPr>
        <w:t>числе</w:t>
      </w:r>
      <w:proofErr w:type="gramEnd"/>
      <w:r w:rsidRPr="004417D7">
        <w:rPr>
          <w:rFonts w:ascii="Times New Roman" w:hAnsi="Times New Roman"/>
          <w:sz w:val="24"/>
          <w:szCs w:val="24"/>
        </w:rPr>
        <w:t xml:space="preserve"> более 36% заняты в промышленности.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/>
          <w:sz w:val="24"/>
          <w:szCs w:val="24"/>
        </w:rPr>
        <w:t>В течение ряда лет заработная плата в промышленности Ломоносовского района стабильно остаётся высокой, так как на территории района расположены крупные современные производственные компании, использующие высококвалифицированный персонал. Кроме того, высокому уровню средней заработной платы в районе способствует развитие агропромышленного комплекса, практически все предприятия переходят на современные технологии, что требует привлечения высококвалифицированных специалистов.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4417D7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4417D7"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работающих на крупных и средних предприятиях – 17,2 тыс</w:t>
      </w:r>
      <w:proofErr w:type="gramStart"/>
      <w:r w:rsidRPr="004417D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17D7">
        <w:rPr>
          <w:rFonts w:ascii="Times New Roman" w:hAnsi="Times New Roman" w:cs="Times New Roman"/>
          <w:sz w:val="24"/>
          <w:szCs w:val="24"/>
        </w:rPr>
        <w:t>ел., темп роста к данным за 2020 год – 12,7%, в том числе более 38% заняты в промышленности.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работников крупных и средних организаций района (чистый ОКВЭД) за отчетный период составила 77,8 тыс</w:t>
      </w:r>
      <w:proofErr w:type="gramStart"/>
      <w:r w:rsidRPr="004417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17D7">
        <w:rPr>
          <w:rFonts w:ascii="Times New Roman" w:hAnsi="Times New Roman" w:cs="Times New Roman"/>
          <w:sz w:val="24"/>
          <w:szCs w:val="24"/>
        </w:rPr>
        <w:t>уб., темп роста к соотв.периоду прошлого года (СППГ) – 110,9%, в промышленности – 106,8 тыс.руб., что в 1,4 раза превышает средний уровень по району.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7D7">
        <w:rPr>
          <w:rFonts w:ascii="Times New Roman" w:hAnsi="Times New Roman" w:cs="Times New Roman"/>
          <w:sz w:val="24"/>
          <w:szCs w:val="24"/>
        </w:rPr>
        <w:t>В отраслевом разрезе среднесписочная численность работников крупных и средних организаций (чистый ОКВЭД) за январь-декабрь 2021 составила:</w:t>
      </w:r>
      <w:proofErr w:type="gramEnd"/>
    </w:p>
    <w:p w:rsidR="004417D7" w:rsidRPr="004417D7" w:rsidRDefault="004417D7" w:rsidP="004417D7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сельское хозяйство – 1327 чел. (105% к СППГ);</w:t>
      </w:r>
    </w:p>
    <w:p w:rsidR="004417D7" w:rsidRPr="004417D7" w:rsidRDefault="004417D7" w:rsidP="004417D7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обрабатывающие производства – 6528 чел. (98% к СППГ);</w:t>
      </w:r>
    </w:p>
    <w:p w:rsidR="004417D7" w:rsidRPr="004417D7" w:rsidRDefault="004417D7" w:rsidP="004417D7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обеспечение электроэнергией, газом и паром – 310 чел. (94,5% к СППГ);</w:t>
      </w:r>
    </w:p>
    <w:p w:rsidR="004417D7" w:rsidRPr="004417D7" w:rsidRDefault="004417D7" w:rsidP="004417D7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водоснабжение, водоотведение, организация сбора и утилизации отходов – 219 чел, (97,4% к СППГ);</w:t>
      </w:r>
    </w:p>
    <w:p w:rsidR="004417D7" w:rsidRPr="004417D7" w:rsidRDefault="004417D7" w:rsidP="004417D7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строительство – 808 чел. (141,6%).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отраслевом разрезе среднемесячная начисленная заработная плата работников крупных и средних организаций за январь-декабрь 2021 года:</w:t>
      </w:r>
    </w:p>
    <w:p w:rsidR="004417D7" w:rsidRPr="004417D7" w:rsidRDefault="004417D7" w:rsidP="004417D7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сельское хозяйство – 56614 руб. (114% к СППГ);</w:t>
      </w:r>
    </w:p>
    <w:p w:rsidR="004417D7" w:rsidRPr="004417D7" w:rsidRDefault="004417D7" w:rsidP="004417D7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обрабатывающие производства – 106776 руб. (109,7% к СППГ);</w:t>
      </w:r>
    </w:p>
    <w:p w:rsidR="004417D7" w:rsidRPr="004417D7" w:rsidRDefault="004417D7" w:rsidP="004417D7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обеспечение электроэнергией, газом и паром – 31747 руб. (95,1% к СППГ);</w:t>
      </w:r>
    </w:p>
    <w:p w:rsidR="004417D7" w:rsidRPr="004417D7" w:rsidRDefault="004417D7" w:rsidP="004417D7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водоснабжение, водоотведение, организация сбора и утилизации отходов 42512 руб. (111,9% к СППГ);</w:t>
      </w:r>
    </w:p>
    <w:p w:rsidR="004417D7" w:rsidRPr="004417D7" w:rsidRDefault="004417D7" w:rsidP="004417D7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 xml:space="preserve"> строительство – 84406 руб. (119% к СППГ).</w:t>
      </w:r>
    </w:p>
    <w:p w:rsidR="004417D7" w:rsidRPr="004417D7" w:rsidRDefault="004417D7" w:rsidP="004417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течение ряда лет заработная плата в промышленности Ломоносовского района стабильно остаётся высокой. На территории района расположены крупные современные производственные компании, использующие высококвалифицированный персонал.</w:t>
      </w:r>
    </w:p>
    <w:p w:rsidR="004417D7" w:rsidRPr="004417D7" w:rsidRDefault="004417D7" w:rsidP="004417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17D7">
        <w:rPr>
          <w:rFonts w:ascii="Times New Roman" w:hAnsi="Times New Roman"/>
          <w:sz w:val="24"/>
          <w:szCs w:val="24"/>
        </w:rPr>
        <w:t xml:space="preserve">В 2022-2024 гг. прогноз уровня среднемесячной номинальной заработной платы работников на крупных и средних предприятиях планируется в соответствии с прогнозируемым темпом роста,  обеспеченным активной инвестиционной деятельностью на территории района. Реализация новых инвестиционных проектов будет способствовать  </w:t>
      </w:r>
      <w:r w:rsidRPr="004417D7">
        <w:rPr>
          <w:rFonts w:ascii="Times New Roman" w:hAnsi="Times New Roman"/>
          <w:sz w:val="24"/>
          <w:szCs w:val="24"/>
        </w:rPr>
        <w:lastRenderedPageBreak/>
        <w:t>дальнейшему расширению видов специализации промышленного производства, вводу новых рабочих мест, обеспечению стабильного высокого уровня заработной платы.</w:t>
      </w:r>
    </w:p>
    <w:p w:rsidR="004417D7" w:rsidRPr="004417D7" w:rsidRDefault="004417D7" w:rsidP="004417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17D7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дошкольных образовательных учреждений:</w:t>
      </w:r>
    </w:p>
    <w:p w:rsidR="004417D7" w:rsidRPr="004417D7" w:rsidRDefault="004417D7" w:rsidP="004417D7">
      <w:pPr>
        <w:pStyle w:val="a5"/>
        <w:numPr>
          <w:ilvl w:val="0"/>
          <w:numId w:val="5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37735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35710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41911 руб., темп роста 111,1% к 2020 году;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2022 году – 42250 руб. (темп роста 100,8% к предыдущему году);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2023 году – 43000 руб. (темп роста 101,8% к предыдущему году);</w:t>
      </w:r>
    </w:p>
    <w:p w:rsid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2024 году – 43500 руб. (темп роста 101,2% к предыдущему году).</w:t>
      </w:r>
    </w:p>
    <w:p w:rsidR="00570791" w:rsidRPr="004417D7" w:rsidRDefault="00570791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7D7" w:rsidRPr="004417D7" w:rsidRDefault="004417D7" w:rsidP="004417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17D7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общеобразовательных учреждений:</w:t>
      </w:r>
    </w:p>
    <w:p w:rsidR="004417D7" w:rsidRPr="004417D7" w:rsidRDefault="004417D7" w:rsidP="004417D7">
      <w:pPr>
        <w:pStyle w:val="a5"/>
        <w:numPr>
          <w:ilvl w:val="0"/>
          <w:numId w:val="5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45284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43518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50569 руб., темп роста 111,7% к 2020 году;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2022 году – 51300 руб. (темп роста 101,4% к предыдущему году);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2023 году – 51500 руб. (темп роста 100,4% к предыдущему году);</w:t>
      </w:r>
    </w:p>
    <w:p w:rsid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2024 году – 51900 руб. (темп роста 100,8% к предыдущему году).</w:t>
      </w:r>
    </w:p>
    <w:p w:rsidR="00570791" w:rsidRPr="004417D7" w:rsidRDefault="00570791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7D7" w:rsidRPr="004417D7" w:rsidRDefault="004417D7" w:rsidP="004417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17D7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учителей муниципальных общеобразовательных учреждений:</w:t>
      </w:r>
    </w:p>
    <w:p w:rsidR="004417D7" w:rsidRPr="004417D7" w:rsidRDefault="004417D7" w:rsidP="004417D7">
      <w:pPr>
        <w:pStyle w:val="a5"/>
        <w:numPr>
          <w:ilvl w:val="0"/>
          <w:numId w:val="5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49350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46666,9 руб.;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54262,8 руб., темп роста 110,0% к 2020 году;</w:t>
      </w:r>
    </w:p>
    <w:p w:rsidR="004417D7" w:rsidRPr="004417D7" w:rsidRDefault="004417D7" w:rsidP="004417D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2022 году – 54300 руб. (темп роста 100,1% к предыдущему году);</w:t>
      </w:r>
    </w:p>
    <w:p w:rsidR="004417D7" w:rsidRPr="004417D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2023 году – 54500 руб. (темп роста 100,4% к предыдущему году);</w:t>
      </w:r>
    </w:p>
    <w:p w:rsidR="004417D7" w:rsidRPr="003A1787" w:rsidRDefault="004417D7" w:rsidP="004417D7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D7">
        <w:rPr>
          <w:rFonts w:ascii="Times New Roman" w:hAnsi="Times New Roman" w:cs="Times New Roman"/>
          <w:sz w:val="24"/>
          <w:szCs w:val="24"/>
        </w:rPr>
        <w:t>в 2024 году – 55100 руб. (темп роста 101,1% к предыдущему году).</w:t>
      </w:r>
    </w:p>
    <w:p w:rsidR="004417D7" w:rsidRDefault="004417D7" w:rsidP="0039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9C9" w:rsidRPr="00741D2F" w:rsidRDefault="003979C9" w:rsidP="0039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35FB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и искусства:</w:t>
      </w:r>
    </w:p>
    <w:p w:rsidR="003979C9" w:rsidRPr="00304433" w:rsidRDefault="003979C9" w:rsidP="003979C9">
      <w:pPr>
        <w:pStyle w:val="a5"/>
        <w:numPr>
          <w:ilvl w:val="0"/>
          <w:numId w:val="5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04433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3B35FB">
        <w:rPr>
          <w:rFonts w:ascii="Times New Roman" w:hAnsi="Times New Roman" w:cs="Times New Roman"/>
          <w:sz w:val="24"/>
          <w:szCs w:val="24"/>
        </w:rPr>
        <w:t>20</w:t>
      </w:r>
      <w:r w:rsidRPr="0030443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B35FB">
        <w:rPr>
          <w:rFonts w:ascii="Times New Roman" w:hAnsi="Times New Roman" w:cs="Times New Roman"/>
          <w:sz w:val="24"/>
          <w:szCs w:val="24"/>
        </w:rPr>
        <w:t>44347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433">
        <w:rPr>
          <w:rFonts w:ascii="Times New Roman" w:hAnsi="Times New Roman" w:cs="Times New Roman"/>
          <w:sz w:val="24"/>
          <w:szCs w:val="24"/>
        </w:rPr>
        <w:t>руб.;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3B35FB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B35FB">
        <w:rPr>
          <w:rFonts w:ascii="Times New Roman" w:hAnsi="Times New Roman" w:cs="Times New Roman"/>
          <w:sz w:val="24"/>
          <w:szCs w:val="24"/>
        </w:rPr>
        <w:t>43979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3B35FB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35FB">
        <w:rPr>
          <w:rFonts w:ascii="Times New Roman" w:hAnsi="Times New Roman" w:cs="Times New Roman"/>
          <w:sz w:val="24"/>
          <w:szCs w:val="24"/>
        </w:rPr>
        <w:t>47456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руб., темп роста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35FB">
        <w:rPr>
          <w:rFonts w:ascii="Times New Roman" w:hAnsi="Times New Roman" w:cs="Times New Roman"/>
          <w:sz w:val="24"/>
          <w:szCs w:val="24"/>
        </w:rPr>
        <w:t>7</w:t>
      </w:r>
      <w:r w:rsidRPr="003A1787">
        <w:rPr>
          <w:rFonts w:ascii="Times New Roman" w:hAnsi="Times New Roman" w:cs="Times New Roman"/>
          <w:sz w:val="24"/>
          <w:szCs w:val="24"/>
        </w:rPr>
        <w:t>% к 20</w:t>
      </w:r>
      <w:r w:rsidR="003B35FB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>году;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3B35FB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35FB">
        <w:rPr>
          <w:rFonts w:ascii="Times New Roman" w:hAnsi="Times New Roman" w:cs="Times New Roman"/>
          <w:sz w:val="24"/>
          <w:szCs w:val="24"/>
        </w:rPr>
        <w:t>7456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году);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3B35FB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B35FB">
        <w:rPr>
          <w:rFonts w:ascii="Times New Roman" w:hAnsi="Times New Roman" w:cs="Times New Roman"/>
          <w:sz w:val="24"/>
          <w:szCs w:val="24"/>
        </w:rPr>
        <w:t>47456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году);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3B35FB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B35FB">
        <w:rPr>
          <w:rFonts w:ascii="Times New Roman" w:hAnsi="Times New Roman" w:cs="Times New Roman"/>
          <w:sz w:val="24"/>
          <w:szCs w:val="24"/>
        </w:rPr>
        <w:t>47456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году).</w:t>
      </w:r>
    </w:p>
    <w:p w:rsidR="002A2830" w:rsidRDefault="002A2830" w:rsidP="0039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979C9" w:rsidRPr="00741D2F" w:rsidRDefault="003979C9" w:rsidP="00397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830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муниципальных учреждений физической культуры и спорта:</w:t>
      </w:r>
    </w:p>
    <w:p w:rsidR="003979C9" w:rsidRPr="00304433" w:rsidRDefault="003979C9" w:rsidP="003979C9">
      <w:pPr>
        <w:pStyle w:val="a5"/>
        <w:numPr>
          <w:ilvl w:val="0"/>
          <w:numId w:val="5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04433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7572C1">
        <w:rPr>
          <w:rFonts w:ascii="Times New Roman" w:hAnsi="Times New Roman" w:cs="Times New Roman"/>
          <w:sz w:val="24"/>
          <w:szCs w:val="24"/>
        </w:rPr>
        <w:t>20</w:t>
      </w:r>
      <w:r w:rsidRPr="0030443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72C1">
        <w:rPr>
          <w:rFonts w:ascii="Times New Roman" w:hAnsi="Times New Roman" w:cs="Times New Roman"/>
          <w:sz w:val="24"/>
          <w:szCs w:val="24"/>
        </w:rPr>
        <w:t>0889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433">
        <w:rPr>
          <w:rFonts w:ascii="Times New Roman" w:hAnsi="Times New Roman" w:cs="Times New Roman"/>
          <w:sz w:val="24"/>
          <w:szCs w:val="24"/>
        </w:rPr>
        <w:t>руб.;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7572C1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72C1">
        <w:rPr>
          <w:rFonts w:ascii="Times New Roman" w:hAnsi="Times New Roman" w:cs="Times New Roman"/>
          <w:sz w:val="24"/>
          <w:szCs w:val="24"/>
        </w:rPr>
        <w:t>40102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7572C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572C1">
        <w:rPr>
          <w:rFonts w:ascii="Times New Roman" w:hAnsi="Times New Roman" w:cs="Times New Roman"/>
          <w:sz w:val="24"/>
          <w:szCs w:val="24"/>
        </w:rPr>
        <w:t>43580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руб., темп роста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A2830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>% к 20</w:t>
      </w:r>
      <w:r w:rsidR="007572C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79C9" w:rsidRPr="003A1787" w:rsidRDefault="003979C9" w:rsidP="003979C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72C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72C1">
        <w:rPr>
          <w:rFonts w:ascii="Times New Roman" w:hAnsi="Times New Roman" w:cs="Times New Roman"/>
          <w:sz w:val="24"/>
          <w:szCs w:val="24"/>
        </w:rPr>
        <w:t>3580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 w:rsidR="006F5919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году);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72C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72C1">
        <w:rPr>
          <w:rFonts w:ascii="Times New Roman" w:hAnsi="Times New Roman" w:cs="Times New Roman"/>
          <w:sz w:val="24"/>
          <w:szCs w:val="24"/>
        </w:rPr>
        <w:t>43580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 w:rsidR="006F5919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году);</w:t>
      </w:r>
    </w:p>
    <w:p w:rsidR="003979C9" w:rsidRPr="003A1787" w:rsidRDefault="003979C9" w:rsidP="003979C9">
      <w:pPr>
        <w:pStyle w:val="a5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72C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72C1">
        <w:rPr>
          <w:rFonts w:ascii="Times New Roman" w:hAnsi="Times New Roman" w:cs="Times New Roman"/>
          <w:sz w:val="24"/>
          <w:szCs w:val="24"/>
        </w:rPr>
        <w:t>43580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 (темп роста 10</w:t>
      </w:r>
      <w:r w:rsidR="006F5919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 к предыдущему году).</w:t>
      </w:r>
    </w:p>
    <w:p w:rsidR="00741D2F" w:rsidRPr="006F5919" w:rsidRDefault="00741D2F" w:rsidP="006F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CCA" w:rsidRPr="003A1787" w:rsidRDefault="00206CCA" w:rsidP="00304433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II. Дошкольное образование</w:t>
      </w:r>
    </w:p>
    <w:p w:rsidR="00206CCA" w:rsidRPr="003A1787" w:rsidRDefault="00206CCA" w:rsidP="003044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AD">
        <w:rPr>
          <w:rFonts w:ascii="Times New Roman" w:hAnsi="Times New Roman" w:cs="Times New Roman"/>
          <w:b/>
          <w:sz w:val="24"/>
          <w:szCs w:val="24"/>
        </w:rPr>
        <w:t>п.9.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лет:</w:t>
      </w:r>
    </w:p>
    <w:p w:rsidR="00A10125" w:rsidRPr="00A775AD" w:rsidRDefault="00A10125" w:rsidP="00A1012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- 100%;</w:t>
      </w:r>
    </w:p>
    <w:p w:rsidR="00A10125" w:rsidRPr="00A775AD" w:rsidRDefault="00A10125" w:rsidP="00A1012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100,0%;</w:t>
      </w:r>
    </w:p>
    <w:p w:rsidR="00A10125" w:rsidRPr="00A775AD" w:rsidRDefault="00A10125" w:rsidP="00A1012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100%;</w:t>
      </w:r>
    </w:p>
    <w:p w:rsidR="00A10125" w:rsidRPr="00A775AD" w:rsidRDefault="00A10125" w:rsidP="00A1012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в 2022 году – 100%;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в 2023 году – 100%;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в 2024 году – 100%.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В Ломоносовском районе 22 учреждения, реализующих образовательную программу дошкольного образования, их них: 18 дошкольных образовательных учреждений, 4 дошкольных отделения на базе общеобразовательных организаций.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 xml:space="preserve">Количество детей, посещающих дошкольные образовательные учреждения на 01.01.2022 г., составляет </w:t>
      </w:r>
      <w:r w:rsidRPr="00A775AD">
        <w:rPr>
          <w:rFonts w:ascii="Times New Roman" w:hAnsi="Times New Roman" w:cs="Times New Roman"/>
          <w:bCs/>
          <w:sz w:val="24"/>
          <w:szCs w:val="24"/>
        </w:rPr>
        <w:t>4451</w:t>
      </w:r>
      <w:r w:rsidRPr="00A775A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Количество детей в возрасте от 1 до 6 лет, охваченных услугами дошкольного образования на 01.01.2022 г., составляет 100% от общего числа детей данного возраста.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С 01.09.2022 года планируются к открытию детские сады: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775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A775AD">
        <w:rPr>
          <w:rFonts w:ascii="Times New Roman" w:hAnsi="Times New Roman" w:cs="Times New Roman"/>
          <w:sz w:val="24"/>
          <w:szCs w:val="24"/>
        </w:rPr>
        <w:t>. Новоселье проектной мощностью 145 мест;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Pr="00A775AD">
        <w:rPr>
          <w:rFonts w:ascii="Times New Roman" w:hAnsi="Times New Roman" w:cs="Times New Roman"/>
          <w:sz w:val="24"/>
          <w:szCs w:val="24"/>
        </w:rPr>
        <w:t>Новогорело</w:t>
      </w:r>
      <w:proofErr w:type="spellEnd"/>
      <w:r w:rsidRPr="00A775AD">
        <w:rPr>
          <w:rFonts w:ascii="Times New Roman" w:hAnsi="Times New Roman" w:cs="Times New Roman"/>
          <w:sz w:val="24"/>
          <w:szCs w:val="24"/>
        </w:rPr>
        <w:t xml:space="preserve"> проектной мощностью на 280 мест.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AD">
        <w:rPr>
          <w:rFonts w:ascii="Times New Roman" w:hAnsi="Times New Roman" w:cs="Times New Roman"/>
          <w:b/>
          <w:sz w:val="24"/>
          <w:szCs w:val="24"/>
        </w:rPr>
        <w:t>п.10. Доля детей в возрасте 1 - 6 лет, стоящих на учёте для определения в муниципальные дошкольные образовательные учреждения, в общей численности детей в возрасте 1 - 6 лет:</w:t>
      </w:r>
    </w:p>
    <w:p w:rsidR="00A10125" w:rsidRPr="00A775AD" w:rsidRDefault="00A10125" w:rsidP="00A1012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0%;</w:t>
      </w:r>
    </w:p>
    <w:p w:rsidR="00A10125" w:rsidRPr="00A775AD" w:rsidRDefault="00A10125" w:rsidP="00A1012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0%;</w:t>
      </w:r>
    </w:p>
    <w:p w:rsidR="00A10125" w:rsidRPr="00A775AD" w:rsidRDefault="00A10125" w:rsidP="00A1012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0%;</w:t>
      </w:r>
    </w:p>
    <w:p w:rsidR="00A10125" w:rsidRPr="00A775AD" w:rsidRDefault="00A10125" w:rsidP="00A10125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A10125" w:rsidRPr="00A775AD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5AD">
        <w:rPr>
          <w:rFonts w:ascii="Times New Roman" w:hAnsi="Times New Roman" w:cs="Times New Roman"/>
          <w:sz w:val="24"/>
          <w:szCs w:val="24"/>
        </w:rPr>
        <w:t>в 2022 году – 0%;</w:t>
      </w:r>
    </w:p>
    <w:p w:rsidR="00A10125" w:rsidRPr="00B91564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в 2022 году – 0%;</w:t>
      </w:r>
    </w:p>
    <w:p w:rsidR="00A10125" w:rsidRPr="00B91564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в 2023 году – 0 %.</w:t>
      </w:r>
    </w:p>
    <w:p w:rsidR="00A10125" w:rsidRPr="00B91564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10125" w:rsidRPr="00B91564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564">
        <w:rPr>
          <w:rFonts w:ascii="Times New Roman" w:hAnsi="Times New Roman" w:cs="Times New Roman"/>
          <w:b/>
          <w:sz w:val="24"/>
          <w:szCs w:val="24"/>
        </w:rPr>
        <w:t>п.11.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учреждений:</w:t>
      </w:r>
    </w:p>
    <w:p w:rsidR="00A10125" w:rsidRPr="00B91564" w:rsidRDefault="00A10125" w:rsidP="00A1012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1564">
        <w:rPr>
          <w:rFonts w:ascii="Times New Roman" w:hAnsi="Times New Roman"/>
          <w:sz w:val="24"/>
          <w:szCs w:val="24"/>
        </w:rPr>
        <w:t xml:space="preserve">фактические значения за год, предшествующий отчётному году, в 2020 году </w:t>
      </w:r>
      <w:r w:rsidRPr="00B91564">
        <w:rPr>
          <w:rFonts w:ascii="Times New Roman" w:eastAsiaTheme="minorHAnsi" w:hAnsi="Times New Roman"/>
          <w:sz w:val="24"/>
          <w:szCs w:val="24"/>
          <w:lang w:eastAsia="en-US"/>
        </w:rPr>
        <w:t>– 5%. МДОУ 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91564">
        <w:rPr>
          <w:rFonts w:ascii="Times New Roman" w:eastAsiaTheme="minorHAnsi" w:hAnsi="Times New Roman"/>
          <w:sz w:val="24"/>
          <w:szCs w:val="24"/>
          <w:lang w:eastAsia="en-US"/>
        </w:rPr>
        <w:t>9 закрыто на капитальный ремонт с 01.09.2019 года. Заключение экспертизы № 0825-0297-19 ООО «</w:t>
      </w:r>
      <w:proofErr w:type="spellStart"/>
      <w:r w:rsidRPr="00B91564">
        <w:rPr>
          <w:rFonts w:ascii="Times New Roman" w:eastAsiaTheme="minorHAnsi" w:hAnsi="Times New Roman"/>
          <w:sz w:val="24"/>
          <w:szCs w:val="24"/>
          <w:lang w:eastAsia="en-US"/>
        </w:rPr>
        <w:t>Стройтехэкспертиза</w:t>
      </w:r>
      <w:proofErr w:type="spellEnd"/>
      <w:r w:rsidRPr="00B91564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A10125" w:rsidRPr="00B91564" w:rsidRDefault="00A10125" w:rsidP="00A10125">
      <w:pPr>
        <w:pStyle w:val="a5"/>
        <w:numPr>
          <w:ilvl w:val="0"/>
          <w:numId w:val="2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5%;</w:t>
      </w:r>
    </w:p>
    <w:p w:rsidR="00A10125" w:rsidRPr="00B91564" w:rsidRDefault="00A10125" w:rsidP="00A10125">
      <w:pPr>
        <w:pStyle w:val="a5"/>
        <w:numPr>
          <w:ilvl w:val="0"/>
          <w:numId w:val="2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фактические значения за планируемые значения на 3-х летний период:</w:t>
      </w:r>
    </w:p>
    <w:p w:rsidR="00A10125" w:rsidRPr="00B91564" w:rsidRDefault="00A10125" w:rsidP="00A10125">
      <w:pPr>
        <w:pStyle w:val="a5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в 2022 году – 5,2%;</w:t>
      </w:r>
    </w:p>
    <w:p w:rsidR="00A10125" w:rsidRPr="00B91564" w:rsidRDefault="00A10125" w:rsidP="00A10125">
      <w:pPr>
        <w:pStyle w:val="a5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в 2023 году – 5,2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564">
        <w:rPr>
          <w:rFonts w:ascii="Times New Roman" w:hAnsi="Times New Roman" w:cs="Times New Roman"/>
          <w:sz w:val="24"/>
          <w:szCs w:val="24"/>
        </w:rPr>
        <w:t>%;</w:t>
      </w:r>
    </w:p>
    <w:p w:rsidR="00A10125" w:rsidRPr="00B91564" w:rsidRDefault="00A10125" w:rsidP="00A10125">
      <w:pPr>
        <w:pStyle w:val="a5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в 2024</w:t>
      </w:r>
      <w:r>
        <w:rPr>
          <w:rFonts w:ascii="Times New Roman" w:hAnsi="Times New Roman" w:cs="Times New Roman"/>
          <w:sz w:val="24"/>
          <w:szCs w:val="24"/>
        </w:rPr>
        <w:t xml:space="preserve"> году – 5,0</w:t>
      </w:r>
      <w:r w:rsidRPr="00B91564">
        <w:rPr>
          <w:rFonts w:ascii="Times New Roman" w:hAnsi="Times New Roman" w:cs="Times New Roman"/>
          <w:sz w:val="24"/>
          <w:szCs w:val="24"/>
        </w:rPr>
        <w:t>%.</w:t>
      </w:r>
    </w:p>
    <w:p w:rsidR="00A10125" w:rsidRPr="003A1787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564">
        <w:rPr>
          <w:rFonts w:ascii="Times New Roman" w:hAnsi="Times New Roman" w:cs="Times New Roman"/>
          <w:sz w:val="24"/>
          <w:szCs w:val="24"/>
        </w:rPr>
        <w:t>Началось проведение реновации в МДОУ «Детский сад №26» пос. Анино в апреле 2022 года.</w:t>
      </w:r>
    </w:p>
    <w:p w:rsidR="00206CCA" w:rsidRPr="003A1787" w:rsidRDefault="00206CCA" w:rsidP="00EB315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III. Общее и дополнительное образование</w:t>
      </w:r>
    </w:p>
    <w:p w:rsidR="00206CCA" w:rsidRPr="003A1787" w:rsidRDefault="00206CCA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CCA" w:rsidRPr="003A1787" w:rsidRDefault="00206CCA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п.12</w:t>
      </w:r>
      <w:r w:rsidR="006F5919">
        <w:rPr>
          <w:rFonts w:ascii="Times New Roman" w:hAnsi="Times New Roman" w:cs="Times New Roman"/>
          <w:b/>
          <w:sz w:val="24"/>
          <w:szCs w:val="24"/>
        </w:rPr>
        <w:t>.</w:t>
      </w:r>
      <w:r w:rsidRPr="003A1787">
        <w:rPr>
          <w:rFonts w:ascii="Times New Roman" w:hAnsi="Times New Roman" w:cs="Times New Roman"/>
          <w:b/>
          <w:sz w:val="24"/>
          <w:szCs w:val="24"/>
        </w:rPr>
        <w:t xml:space="preserve">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0F19D1">
        <w:rPr>
          <w:rFonts w:ascii="Times New Roman" w:hAnsi="Times New Roman" w:cs="Times New Roman"/>
          <w:b/>
          <w:sz w:val="24"/>
          <w:szCs w:val="24"/>
        </w:rPr>
        <w:t>:</w:t>
      </w:r>
    </w:p>
    <w:p w:rsidR="00206CCA" w:rsidRPr="003A1787" w:rsidRDefault="00206CCA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(пункт 12 </w:t>
      </w:r>
      <w:r w:rsidR="006F5919">
        <w:rPr>
          <w:rFonts w:ascii="Times New Roman" w:hAnsi="Times New Roman" w:cs="Times New Roman"/>
          <w:sz w:val="24"/>
          <w:szCs w:val="24"/>
        </w:rPr>
        <w:t>и</w:t>
      </w:r>
      <w:r w:rsidRPr="003A1787">
        <w:rPr>
          <w:rFonts w:ascii="Times New Roman" w:hAnsi="Times New Roman" w:cs="Times New Roman"/>
          <w:sz w:val="24"/>
          <w:szCs w:val="24"/>
        </w:rPr>
        <w:t xml:space="preserve">сключён в соответствии с Постановлением Правительства Ленинградской области от 20 марта 2017 г. N 65 "О внесении изменений в постановление Правительства Ленинградской области от 6 августа 2013 года N 240 "О порядке проведения в Ленинградской области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и городского округа").</w:t>
      </w:r>
    </w:p>
    <w:p w:rsidR="00206CCA" w:rsidRPr="003A1787" w:rsidRDefault="00206CCA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787">
        <w:rPr>
          <w:rFonts w:ascii="Times New Roman" w:hAnsi="Times New Roman"/>
          <w:b/>
          <w:sz w:val="24"/>
          <w:szCs w:val="24"/>
        </w:rPr>
        <w:t>п.13</w:t>
      </w:r>
      <w:r>
        <w:rPr>
          <w:rFonts w:ascii="Times New Roman" w:hAnsi="Times New Roman"/>
          <w:b/>
          <w:sz w:val="24"/>
          <w:szCs w:val="24"/>
        </w:rPr>
        <w:t>.</w:t>
      </w:r>
      <w:r w:rsidRPr="003A1787">
        <w:rPr>
          <w:rFonts w:ascii="Times New Roman" w:hAnsi="Times New Roman"/>
          <w:b/>
          <w:sz w:val="24"/>
          <w:szCs w:val="24"/>
        </w:rPr>
        <w:t xml:space="preserve">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0125" w:rsidRPr="00EB3155" w:rsidRDefault="00A10125" w:rsidP="00A10125">
      <w:pPr>
        <w:pStyle w:val="ab"/>
        <w:numPr>
          <w:ilvl w:val="0"/>
          <w:numId w:val="2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B3155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</w:t>
      </w:r>
      <w:r>
        <w:rPr>
          <w:rFonts w:ascii="Times New Roman" w:hAnsi="Times New Roman"/>
          <w:sz w:val="24"/>
          <w:szCs w:val="24"/>
        </w:rPr>
        <w:t>20</w:t>
      </w:r>
      <w:r w:rsidRPr="00EB3155">
        <w:rPr>
          <w:rFonts w:ascii="Times New Roman" w:hAnsi="Times New Roman"/>
          <w:sz w:val="24"/>
          <w:szCs w:val="24"/>
        </w:rPr>
        <w:t xml:space="preserve"> году – 0%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EB3155" w:rsidRDefault="00A10125" w:rsidP="00A10125">
      <w:pPr>
        <w:pStyle w:val="ab"/>
        <w:numPr>
          <w:ilvl w:val="0"/>
          <w:numId w:val="2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B3155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</w:t>
      </w:r>
      <w:r>
        <w:rPr>
          <w:rFonts w:ascii="Times New Roman" w:hAnsi="Times New Roman"/>
          <w:sz w:val="24"/>
          <w:szCs w:val="24"/>
        </w:rPr>
        <w:t>9 году – 0</w:t>
      </w:r>
      <w:r w:rsidRPr="00EB315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EB3155" w:rsidRDefault="00A10125" w:rsidP="00A10125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55">
        <w:rPr>
          <w:rFonts w:ascii="Times New Roman" w:hAnsi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/>
          <w:sz w:val="24"/>
          <w:szCs w:val="24"/>
        </w:rPr>
        <w:t>1</w:t>
      </w:r>
      <w:r w:rsidRPr="00EB3155">
        <w:rPr>
          <w:rFonts w:ascii="Times New Roman" w:hAnsi="Times New Roman"/>
          <w:sz w:val="24"/>
          <w:szCs w:val="24"/>
        </w:rPr>
        <w:t xml:space="preserve"> год – 0%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EB3155" w:rsidRDefault="00A10125" w:rsidP="00A10125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55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A1787">
        <w:rPr>
          <w:rFonts w:ascii="Times New Roman" w:hAnsi="Times New Roman"/>
          <w:sz w:val="24"/>
          <w:szCs w:val="24"/>
        </w:rPr>
        <w:t xml:space="preserve"> году – 0%;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 xml:space="preserve"> году – 0%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A1787">
        <w:rPr>
          <w:rFonts w:ascii="Times New Roman" w:hAnsi="Times New Roman"/>
          <w:sz w:val="24"/>
          <w:szCs w:val="24"/>
        </w:rPr>
        <w:t>году – 0%.</w:t>
      </w: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0125" w:rsidRPr="00A775AD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787">
        <w:rPr>
          <w:rFonts w:ascii="Times New Roman" w:hAnsi="Times New Roman"/>
          <w:b/>
          <w:sz w:val="24"/>
          <w:szCs w:val="24"/>
        </w:rPr>
        <w:t>п.14</w:t>
      </w:r>
      <w:r>
        <w:rPr>
          <w:rFonts w:ascii="Times New Roman" w:hAnsi="Times New Roman"/>
          <w:b/>
          <w:sz w:val="24"/>
          <w:szCs w:val="24"/>
        </w:rPr>
        <w:t>.</w:t>
      </w:r>
      <w:r w:rsidRPr="003A1787">
        <w:rPr>
          <w:rFonts w:ascii="Times New Roman" w:hAnsi="Times New Roman"/>
          <w:b/>
          <w:sz w:val="24"/>
          <w:szCs w:val="24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</w:t>
      </w:r>
      <w:r w:rsidRPr="00A775AD">
        <w:rPr>
          <w:rFonts w:ascii="Times New Roman" w:hAnsi="Times New Roman"/>
          <w:b/>
          <w:sz w:val="24"/>
          <w:szCs w:val="24"/>
        </w:rPr>
        <w:t>муниципальных общеобразовательных учреждений:</w:t>
      </w:r>
    </w:p>
    <w:p w:rsidR="00A10125" w:rsidRPr="00A775AD" w:rsidRDefault="00A10125" w:rsidP="00A10125">
      <w:pPr>
        <w:pStyle w:val="ab"/>
        <w:numPr>
          <w:ilvl w:val="0"/>
          <w:numId w:val="2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2020 году – 100%;</w:t>
      </w:r>
    </w:p>
    <w:p w:rsidR="00A10125" w:rsidRPr="00A775AD" w:rsidRDefault="00A10125" w:rsidP="00A10125">
      <w:pPr>
        <w:pStyle w:val="ab"/>
        <w:numPr>
          <w:ilvl w:val="0"/>
          <w:numId w:val="2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2019 году – 100%;</w:t>
      </w:r>
    </w:p>
    <w:p w:rsidR="00A10125" w:rsidRPr="00A775AD" w:rsidRDefault="00A10125" w:rsidP="00A10125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отчётный 2021 год – 100%;</w:t>
      </w:r>
    </w:p>
    <w:p w:rsidR="00A10125" w:rsidRPr="00A775AD" w:rsidRDefault="00A10125" w:rsidP="00A10125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10125" w:rsidRPr="00A775AD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2022 году – 100%;</w:t>
      </w:r>
    </w:p>
    <w:p w:rsidR="00A10125" w:rsidRPr="00A775AD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2023 году – 100%;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2024 году – 100%.</w:t>
      </w: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A10125" w:rsidRPr="000F19D1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787">
        <w:rPr>
          <w:rFonts w:ascii="Times New Roman" w:hAnsi="Times New Roman"/>
          <w:b/>
          <w:sz w:val="24"/>
          <w:szCs w:val="24"/>
        </w:rPr>
        <w:t>п.15</w:t>
      </w:r>
      <w:r>
        <w:rPr>
          <w:rFonts w:ascii="Times New Roman" w:hAnsi="Times New Roman"/>
          <w:b/>
          <w:sz w:val="24"/>
          <w:szCs w:val="24"/>
        </w:rPr>
        <w:t>.</w:t>
      </w:r>
      <w:r w:rsidRPr="003A1787">
        <w:rPr>
          <w:rFonts w:ascii="Times New Roman" w:hAnsi="Times New Roman"/>
          <w:b/>
          <w:sz w:val="24"/>
          <w:szCs w:val="24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0125" w:rsidRPr="00A775AD" w:rsidRDefault="00A10125" w:rsidP="00A10125">
      <w:pPr>
        <w:pStyle w:val="ab"/>
        <w:numPr>
          <w:ilvl w:val="0"/>
          <w:numId w:val="2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2020 году – 13,3%;</w:t>
      </w:r>
    </w:p>
    <w:p w:rsidR="00A10125" w:rsidRPr="00A775AD" w:rsidRDefault="00A10125" w:rsidP="00A10125">
      <w:pPr>
        <w:pStyle w:val="ab"/>
        <w:numPr>
          <w:ilvl w:val="0"/>
          <w:numId w:val="2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2019 году – 6,6%;</w:t>
      </w:r>
    </w:p>
    <w:p w:rsidR="00A10125" w:rsidRPr="00A775AD" w:rsidRDefault="00A10125" w:rsidP="00A10125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отчётный 2021 год – 6,6%;</w:t>
      </w:r>
    </w:p>
    <w:p w:rsidR="00A10125" w:rsidRPr="00A775AD" w:rsidRDefault="00A10125" w:rsidP="00A10125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10125" w:rsidRPr="00A775AD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2022 году – 5,5%;</w:t>
      </w:r>
    </w:p>
    <w:p w:rsidR="00A10125" w:rsidRPr="00A775AD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2023 году – 5,26%;</w:t>
      </w:r>
    </w:p>
    <w:p w:rsidR="00A10125" w:rsidRPr="00A775AD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2024 году –5,56%.</w:t>
      </w:r>
    </w:p>
    <w:p w:rsidR="00A10125" w:rsidRPr="00A775AD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2021 году завершена реновация МОУ «</w:t>
      </w:r>
      <w:proofErr w:type="spellStart"/>
      <w:r w:rsidRPr="00A775AD">
        <w:rPr>
          <w:rFonts w:ascii="Times New Roman" w:hAnsi="Times New Roman"/>
          <w:sz w:val="24"/>
          <w:szCs w:val="24"/>
        </w:rPr>
        <w:t>Ропшинская</w:t>
      </w:r>
      <w:proofErr w:type="spellEnd"/>
      <w:r w:rsidRPr="00A775AD">
        <w:rPr>
          <w:rFonts w:ascii="Times New Roman" w:hAnsi="Times New Roman"/>
          <w:sz w:val="24"/>
          <w:szCs w:val="24"/>
        </w:rPr>
        <w:t xml:space="preserve">  школа». Начинается реновация МОУ «Аннинская школа» по программе «Комплексное развитие сельских территорий Ленинградской области». В 2023 году планируется реновация МОУ «</w:t>
      </w:r>
      <w:proofErr w:type="spellStart"/>
      <w:r w:rsidRPr="00A775AD">
        <w:rPr>
          <w:rFonts w:ascii="Times New Roman" w:hAnsi="Times New Roman"/>
          <w:sz w:val="24"/>
          <w:szCs w:val="24"/>
        </w:rPr>
        <w:t>Гостилицкая</w:t>
      </w:r>
      <w:proofErr w:type="spellEnd"/>
      <w:r w:rsidRPr="00A775AD">
        <w:rPr>
          <w:rFonts w:ascii="Times New Roman" w:hAnsi="Times New Roman"/>
          <w:sz w:val="24"/>
          <w:szCs w:val="24"/>
        </w:rPr>
        <w:t xml:space="preserve"> школа» в рамках государственной программы Ленинградской области «Современное образование Ленинградской области», в 2024 год</w:t>
      </w:r>
      <w:proofErr w:type="gramStart"/>
      <w:r w:rsidRPr="00A775AD">
        <w:rPr>
          <w:rFonts w:ascii="Times New Roman" w:hAnsi="Times New Roman"/>
          <w:sz w:val="24"/>
          <w:szCs w:val="24"/>
        </w:rPr>
        <w:t>у-</w:t>
      </w:r>
      <w:proofErr w:type="gramEnd"/>
      <w:r w:rsidRPr="00A775AD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A775AD">
        <w:rPr>
          <w:rFonts w:ascii="Times New Roman" w:hAnsi="Times New Roman"/>
          <w:sz w:val="24"/>
          <w:szCs w:val="24"/>
        </w:rPr>
        <w:t>Русско-Высоцкая</w:t>
      </w:r>
      <w:proofErr w:type="spellEnd"/>
      <w:r w:rsidRPr="00A775AD">
        <w:rPr>
          <w:rFonts w:ascii="Times New Roman" w:hAnsi="Times New Roman"/>
          <w:sz w:val="24"/>
          <w:szCs w:val="24"/>
        </w:rPr>
        <w:t xml:space="preserve"> школа».</w:t>
      </w:r>
    </w:p>
    <w:p w:rsidR="00A10125" w:rsidRPr="00A775AD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0125" w:rsidRPr="00A775AD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5AD">
        <w:rPr>
          <w:rFonts w:ascii="Times New Roman" w:hAnsi="Times New Roman"/>
          <w:b/>
          <w:sz w:val="24"/>
          <w:szCs w:val="24"/>
        </w:rPr>
        <w:t xml:space="preserve">п.16. Доля детей первой и второй групп здоровья в общей </w:t>
      </w:r>
      <w:proofErr w:type="gramStart"/>
      <w:r w:rsidRPr="00A775AD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A775AD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учреждениях:</w:t>
      </w:r>
    </w:p>
    <w:p w:rsidR="00A10125" w:rsidRPr="00A775AD" w:rsidRDefault="00A10125" w:rsidP="00A10125">
      <w:pPr>
        <w:pStyle w:val="ab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2020 году – 88,2%;</w:t>
      </w:r>
    </w:p>
    <w:p w:rsidR="00A10125" w:rsidRPr="00A775AD" w:rsidRDefault="00A10125" w:rsidP="00A10125">
      <w:pPr>
        <w:pStyle w:val="ab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2019 году – 88,1%;</w:t>
      </w:r>
    </w:p>
    <w:p w:rsidR="00A10125" w:rsidRPr="00A775AD" w:rsidRDefault="00A10125" w:rsidP="00A10125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фактические значения за отчётный 2021 год – 88,25%;</w:t>
      </w:r>
    </w:p>
    <w:p w:rsidR="00A10125" w:rsidRPr="00A775AD" w:rsidRDefault="00A10125" w:rsidP="00A10125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10125" w:rsidRPr="00A775AD" w:rsidRDefault="00A10125" w:rsidP="00A10125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2022 году – 88,27%;</w:t>
      </w:r>
    </w:p>
    <w:p w:rsidR="00A10125" w:rsidRPr="00A775AD" w:rsidRDefault="00A10125" w:rsidP="00A10125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2023 году – 88,3%;</w:t>
      </w:r>
    </w:p>
    <w:p w:rsidR="00A10125" w:rsidRPr="003A1787" w:rsidRDefault="00A10125" w:rsidP="00A10125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775AD">
        <w:rPr>
          <w:rFonts w:ascii="Times New Roman" w:hAnsi="Times New Roman"/>
          <w:sz w:val="24"/>
          <w:szCs w:val="24"/>
        </w:rPr>
        <w:t>в 2024 году – 88,3%.</w:t>
      </w: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787">
        <w:rPr>
          <w:rFonts w:ascii="Times New Roman" w:hAnsi="Times New Roman"/>
          <w:b/>
          <w:sz w:val="24"/>
          <w:szCs w:val="24"/>
        </w:rPr>
        <w:t>п.17</w:t>
      </w:r>
      <w:r>
        <w:rPr>
          <w:rFonts w:ascii="Times New Roman" w:hAnsi="Times New Roman"/>
          <w:b/>
          <w:sz w:val="24"/>
          <w:szCs w:val="24"/>
        </w:rPr>
        <w:t>.</w:t>
      </w:r>
      <w:r w:rsidRPr="003A1787">
        <w:rPr>
          <w:rFonts w:ascii="Times New Roman" w:hAnsi="Times New Roman"/>
          <w:b/>
          <w:sz w:val="24"/>
          <w:szCs w:val="24"/>
        </w:rPr>
        <w:t xml:space="preserve">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3A1787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3A1787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учреждениях:</w:t>
      </w:r>
    </w:p>
    <w:p w:rsidR="00A10125" w:rsidRPr="000F19D1" w:rsidRDefault="00A10125" w:rsidP="00A10125">
      <w:pPr>
        <w:pStyle w:val="ab"/>
        <w:numPr>
          <w:ilvl w:val="0"/>
          <w:numId w:val="26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F19D1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</w:t>
      </w:r>
      <w:r>
        <w:rPr>
          <w:rFonts w:ascii="Times New Roman" w:hAnsi="Times New Roman"/>
          <w:sz w:val="24"/>
          <w:szCs w:val="24"/>
        </w:rPr>
        <w:t>20</w:t>
      </w:r>
      <w:r w:rsidRPr="000F19D1">
        <w:rPr>
          <w:rFonts w:ascii="Times New Roman" w:hAnsi="Times New Roman"/>
          <w:sz w:val="24"/>
          <w:szCs w:val="24"/>
        </w:rPr>
        <w:t xml:space="preserve"> году – 0%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0F19D1" w:rsidRDefault="00A10125" w:rsidP="00A10125">
      <w:pPr>
        <w:pStyle w:val="ab"/>
        <w:numPr>
          <w:ilvl w:val="0"/>
          <w:numId w:val="26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F19D1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</w:t>
      </w:r>
      <w:r>
        <w:rPr>
          <w:rFonts w:ascii="Times New Roman" w:hAnsi="Times New Roman"/>
          <w:sz w:val="24"/>
          <w:szCs w:val="24"/>
        </w:rPr>
        <w:t>9</w:t>
      </w:r>
      <w:r w:rsidRPr="000F19D1">
        <w:rPr>
          <w:rFonts w:ascii="Times New Roman" w:hAnsi="Times New Roman"/>
          <w:sz w:val="24"/>
          <w:szCs w:val="24"/>
        </w:rPr>
        <w:t xml:space="preserve"> году – 0 %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0F19D1" w:rsidRDefault="00A10125" w:rsidP="00A1012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D1">
        <w:rPr>
          <w:rFonts w:ascii="Times New Roman" w:hAnsi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/>
          <w:sz w:val="24"/>
          <w:szCs w:val="24"/>
        </w:rPr>
        <w:t>1</w:t>
      </w:r>
      <w:r w:rsidRPr="000F19D1">
        <w:rPr>
          <w:rFonts w:ascii="Times New Roman" w:hAnsi="Times New Roman"/>
          <w:sz w:val="24"/>
          <w:szCs w:val="24"/>
        </w:rPr>
        <w:t xml:space="preserve"> год – 0%</w:t>
      </w:r>
      <w:r>
        <w:rPr>
          <w:rFonts w:ascii="Times New Roman" w:hAnsi="Times New Roman"/>
          <w:sz w:val="24"/>
          <w:szCs w:val="24"/>
        </w:rPr>
        <w:t>;</w:t>
      </w:r>
    </w:p>
    <w:p w:rsidR="00A10125" w:rsidRPr="000F19D1" w:rsidRDefault="00A10125" w:rsidP="00A1012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D1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A1787">
        <w:rPr>
          <w:rFonts w:ascii="Times New Roman" w:hAnsi="Times New Roman"/>
          <w:sz w:val="24"/>
          <w:szCs w:val="24"/>
        </w:rPr>
        <w:t xml:space="preserve"> году – 0%;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 xml:space="preserve"> году – 0%;</w:t>
      </w:r>
    </w:p>
    <w:p w:rsidR="00A10125" w:rsidRPr="003A1787" w:rsidRDefault="00A10125" w:rsidP="00A10125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 xml:space="preserve"> году – 0%.</w:t>
      </w:r>
    </w:p>
    <w:p w:rsidR="00A10125" w:rsidRPr="003A1787" w:rsidRDefault="00A10125" w:rsidP="00A10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10125" w:rsidRPr="003A1787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1787">
        <w:rPr>
          <w:rFonts w:ascii="Times New Roman" w:hAnsi="Times New Roman" w:cs="Times New Roman"/>
          <w:b/>
          <w:sz w:val="24"/>
          <w:szCs w:val="24"/>
        </w:rPr>
        <w:t xml:space="preserve"> Расходы бюджета муниципального образования на общее образование в расчёте на 1 обучающегося в муниципальных общеобразовательных учреждениях:</w:t>
      </w:r>
    </w:p>
    <w:p w:rsidR="00A10125" w:rsidRPr="00AE530E" w:rsidRDefault="00A10125" w:rsidP="00A10125">
      <w:pPr>
        <w:pStyle w:val="a5"/>
        <w:numPr>
          <w:ilvl w:val="0"/>
          <w:numId w:val="2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21,9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0E">
        <w:rPr>
          <w:rFonts w:ascii="Times New Roman" w:hAnsi="Times New Roman" w:cs="Times New Roman"/>
          <w:sz w:val="24"/>
          <w:szCs w:val="24"/>
        </w:rPr>
        <w:t>руб.;</w:t>
      </w:r>
    </w:p>
    <w:p w:rsidR="00A10125" w:rsidRPr="00AE530E" w:rsidRDefault="00A10125" w:rsidP="00A10125">
      <w:pPr>
        <w:pStyle w:val="a5"/>
        <w:numPr>
          <w:ilvl w:val="0"/>
          <w:numId w:val="2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33,8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0E">
        <w:rPr>
          <w:rFonts w:ascii="Times New Roman" w:hAnsi="Times New Roman" w:cs="Times New Roman"/>
          <w:sz w:val="24"/>
          <w:szCs w:val="24"/>
        </w:rPr>
        <w:t>руб.;</w:t>
      </w:r>
    </w:p>
    <w:p w:rsidR="00A10125" w:rsidRPr="00AE530E" w:rsidRDefault="00A10125" w:rsidP="00A10125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24,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AE530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10125" w:rsidRPr="00AE530E" w:rsidRDefault="00A10125" w:rsidP="00A10125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lastRenderedPageBreak/>
        <w:t>планируемые значения на 3-х летний период:</w:t>
      </w:r>
    </w:p>
    <w:p w:rsidR="00A10125" w:rsidRPr="00AE530E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2022 году – 23,4  тыс. руб.;</w:t>
      </w:r>
    </w:p>
    <w:p w:rsidR="00A10125" w:rsidRPr="00AE530E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2023 году – 25,0  тыс. руб.;</w:t>
      </w:r>
    </w:p>
    <w:p w:rsidR="00A10125" w:rsidRPr="003A1787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2024 году – 25,5 тыс. руб.</w:t>
      </w:r>
    </w:p>
    <w:p w:rsidR="00A10125" w:rsidRPr="00AE530E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125" w:rsidRPr="00AE530E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0E">
        <w:rPr>
          <w:rFonts w:ascii="Times New Roman" w:hAnsi="Times New Roman" w:cs="Times New Roman"/>
          <w:b/>
          <w:sz w:val="24"/>
          <w:szCs w:val="24"/>
        </w:rPr>
        <w:t>п.19.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группы:</w:t>
      </w:r>
    </w:p>
    <w:p w:rsidR="00A10125" w:rsidRPr="00AE530E" w:rsidRDefault="00A10125" w:rsidP="00A10125">
      <w:pPr>
        <w:pStyle w:val="a5"/>
        <w:numPr>
          <w:ilvl w:val="0"/>
          <w:numId w:val="2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75,5%;</w:t>
      </w:r>
    </w:p>
    <w:p w:rsidR="00A10125" w:rsidRPr="00AE530E" w:rsidRDefault="00A10125" w:rsidP="00A10125">
      <w:pPr>
        <w:pStyle w:val="a5"/>
        <w:numPr>
          <w:ilvl w:val="0"/>
          <w:numId w:val="2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76%;</w:t>
      </w:r>
    </w:p>
    <w:p w:rsidR="00A10125" w:rsidRPr="00AE530E" w:rsidRDefault="00A10125" w:rsidP="00A10125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80,21%;</w:t>
      </w:r>
    </w:p>
    <w:p w:rsidR="00A10125" w:rsidRPr="00AE530E" w:rsidRDefault="00A10125" w:rsidP="00A10125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A10125" w:rsidRPr="00AE530E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2022 году –78,5 %,</w:t>
      </w:r>
    </w:p>
    <w:p w:rsidR="00A10125" w:rsidRPr="00AE530E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2023 году – 79 %;</w:t>
      </w:r>
    </w:p>
    <w:p w:rsidR="00A10125" w:rsidRPr="00AE530E" w:rsidRDefault="00A10125" w:rsidP="00A10125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 2024 году – 80 %.</w:t>
      </w:r>
    </w:p>
    <w:p w:rsidR="00A10125" w:rsidRPr="00AE530E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 xml:space="preserve">С 01.09.2019 года Ломоносовский район в числе </w:t>
      </w:r>
      <w:proofErr w:type="spellStart"/>
      <w:r w:rsidRPr="00AE530E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AE530E">
        <w:rPr>
          <w:rFonts w:ascii="Times New Roman" w:hAnsi="Times New Roman" w:cs="Times New Roman"/>
          <w:sz w:val="24"/>
          <w:szCs w:val="24"/>
        </w:rPr>
        <w:t xml:space="preserve"> районов Ленинградской области перешел на персонифицированную модель финансирования дополнительного образования.</w:t>
      </w:r>
    </w:p>
    <w:p w:rsidR="00A10125" w:rsidRPr="00AE530E" w:rsidRDefault="00A10125" w:rsidP="00A1012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0E">
        <w:rPr>
          <w:rFonts w:ascii="Times New Roman" w:hAnsi="Times New Roman" w:cs="Times New Roman"/>
          <w:sz w:val="24"/>
          <w:szCs w:val="24"/>
        </w:rPr>
        <w:t>Всего в МО Ломоносовский муниципальный район осуществляют свою деятельность 3 муниципальных учреждения дополнительного образования, подведомственных Комитету по образованию администрации муниципального образования Ломоносовский муниципальный район Ленинградской области.</w:t>
      </w:r>
    </w:p>
    <w:p w:rsidR="00142EA6" w:rsidRDefault="00142EA6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00" w:rsidRPr="003A1787" w:rsidRDefault="00DA5D00" w:rsidP="00142EA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91">
        <w:rPr>
          <w:rFonts w:ascii="Times New Roman" w:hAnsi="Times New Roman" w:cs="Times New Roman"/>
          <w:b/>
          <w:sz w:val="24"/>
          <w:szCs w:val="24"/>
        </w:rPr>
        <w:t>IV. Культура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п.20. Уровень фактической обеспеченности учреждениями культуры от нормативной потребности: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Клубов и учреждений клубного типа</w:t>
      </w:r>
    </w:p>
    <w:p w:rsidR="00DA5D00" w:rsidRPr="003A1787" w:rsidRDefault="00DA5D00" w:rsidP="005F582E">
      <w:pPr>
        <w:pStyle w:val="a5"/>
        <w:numPr>
          <w:ilvl w:val="0"/>
          <w:numId w:val="2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57079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70791">
        <w:rPr>
          <w:rFonts w:ascii="Times New Roman" w:hAnsi="Times New Roman" w:cs="Times New Roman"/>
          <w:sz w:val="24"/>
          <w:szCs w:val="24"/>
        </w:rPr>
        <w:t>71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2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570791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70791">
        <w:rPr>
          <w:rFonts w:ascii="Times New Roman" w:hAnsi="Times New Roman" w:cs="Times New Roman"/>
          <w:sz w:val="24"/>
          <w:szCs w:val="24"/>
        </w:rPr>
        <w:t>65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57079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70791">
        <w:rPr>
          <w:rFonts w:ascii="Times New Roman" w:hAnsi="Times New Roman" w:cs="Times New Roman"/>
          <w:sz w:val="24"/>
          <w:szCs w:val="24"/>
        </w:rPr>
        <w:t>68,79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570791">
        <w:rPr>
          <w:rFonts w:ascii="Times New Roman" w:hAnsi="Times New Roman" w:cs="Times New Roman"/>
          <w:sz w:val="24"/>
          <w:szCs w:val="24"/>
        </w:rPr>
        <w:t xml:space="preserve"> 68,79</w:t>
      </w:r>
      <w:r w:rsidR="00570791"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570791">
        <w:rPr>
          <w:rFonts w:ascii="Times New Roman" w:hAnsi="Times New Roman" w:cs="Times New Roman"/>
          <w:sz w:val="24"/>
          <w:szCs w:val="24"/>
        </w:rPr>
        <w:t>68,79</w:t>
      </w:r>
      <w:r w:rsidR="00570791" w:rsidRPr="003A1787">
        <w:rPr>
          <w:rFonts w:ascii="Times New Roman" w:hAnsi="Times New Roman" w:cs="Times New Roman"/>
          <w:sz w:val="24"/>
          <w:szCs w:val="24"/>
        </w:rPr>
        <w:t>%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70791">
        <w:rPr>
          <w:rFonts w:ascii="Times New Roman" w:hAnsi="Times New Roman" w:cs="Times New Roman"/>
          <w:sz w:val="24"/>
          <w:szCs w:val="24"/>
        </w:rPr>
        <w:t>68,79</w:t>
      </w:r>
      <w:r w:rsidR="00570791" w:rsidRPr="003A1787">
        <w:rPr>
          <w:rFonts w:ascii="Times New Roman" w:hAnsi="Times New Roman" w:cs="Times New Roman"/>
          <w:sz w:val="24"/>
          <w:szCs w:val="24"/>
        </w:rPr>
        <w:t>%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Библиотек</w:t>
      </w:r>
    </w:p>
    <w:p w:rsidR="00DA5D00" w:rsidRPr="003A1787" w:rsidRDefault="00DA5D00" w:rsidP="005F582E">
      <w:pPr>
        <w:pStyle w:val="a5"/>
        <w:numPr>
          <w:ilvl w:val="0"/>
          <w:numId w:val="3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57079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70791">
        <w:rPr>
          <w:rFonts w:ascii="Times New Roman" w:hAnsi="Times New Roman" w:cs="Times New Roman"/>
          <w:sz w:val="24"/>
          <w:szCs w:val="24"/>
        </w:rPr>
        <w:t>67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570791">
        <w:rPr>
          <w:rFonts w:ascii="Times New Roman" w:hAnsi="Times New Roman" w:cs="Times New Roman"/>
          <w:sz w:val="24"/>
          <w:szCs w:val="24"/>
        </w:rPr>
        <w:t>9 году – 56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57079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6</w:t>
      </w:r>
      <w:r w:rsidR="00570791">
        <w:rPr>
          <w:rFonts w:ascii="Times New Roman" w:hAnsi="Times New Roman" w:cs="Times New Roman"/>
          <w:sz w:val="24"/>
          <w:szCs w:val="24"/>
        </w:rPr>
        <w:t>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6</w:t>
      </w:r>
      <w:r w:rsidR="00570791">
        <w:rPr>
          <w:rFonts w:ascii="Times New Roman" w:hAnsi="Times New Roman" w:cs="Times New Roman"/>
          <w:sz w:val="24"/>
          <w:szCs w:val="24"/>
        </w:rPr>
        <w:t>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6</w:t>
      </w:r>
      <w:r w:rsidR="00570791">
        <w:rPr>
          <w:rFonts w:ascii="Times New Roman" w:hAnsi="Times New Roman" w:cs="Times New Roman"/>
          <w:sz w:val="24"/>
          <w:szCs w:val="24"/>
        </w:rPr>
        <w:t>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57079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6</w:t>
      </w:r>
      <w:r w:rsidR="00570791">
        <w:rPr>
          <w:rFonts w:ascii="Times New Roman" w:hAnsi="Times New Roman" w:cs="Times New Roman"/>
          <w:sz w:val="24"/>
          <w:szCs w:val="24"/>
        </w:rPr>
        <w:t>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Парков культуры и отдыха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Муниципальные парки культуры и отдыха на территории района отсутствуют.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lastRenderedPageBreak/>
        <w:t>п.21.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5F582E">
        <w:rPr>
          <w:rFonts w:ascii="Times New Roman" w:hAnsi="Times New Roman" w:cs="Times New Roman"/>
          <w:b/>
          <w:sz w:val="24"/>
          <w:szCs w:val="24"/>
        </w:rPr>
        <w:t>:</w:t>
      </w:r>
    </w:p>
    <w:p w:rsidR="00DA5D00" w:rsidRPr="003A1787" w:rsidRDefault="00DA5D00" w:rsidP="005F582E">
      <w:pPr>
        <w:pStyle w:val="a5"/>
        <w:numPr>
          <w:ilvl w:val="0"/>
          <w:numId w:val="3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F620A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4,76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F620A1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5,56%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F620A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620A1">
        <w:rPr>
          <w:rFonts w:ascii="Times New Roman" w:hAnsi="Times New Roman" w:cs="Times New Roman"/>
          <w:sz w:val="24"/>
          <w:szCs w:val="24"/>
        </w:rPr>
        <w:t>2,38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2,38%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2,38%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2,38%.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5F582E">
        <w:rPr>
          <w:rFonts w:ascii="Times New Roman" w:hAnsi="Times New Roman" w:cs="Times New Roman"/>
          <w:b/>
          <w:sz w:val="24"/>
          <w:szCs w:val="24"/>
        </w:rPr>
        <w:t>:</w:t>
      </w:r>
    </w:p>
    <w:p w:rsidR="00DA5D00" w:rsidRPr="003A1787" w:rsidRDefault="00DA5D00" w:rsidP="005F582E">
      <w:pPr>
        <w:pStyle w:val="a5"/>
        <w:numPr>
          <w:ilvl w:val="0"/>
          <w:numId w:val="3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F620A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38</w:t>
      </w:r>
      <w:r w:rsidRPr="003A1787">
        <w:rPr>
          <w:rFonts w:ascii="Times New Roman" w:hAnsi="Times New Roman" w:cs="Times New Roman"/>
          <w:sz w:val="24"/>
          <w:szCs w:val="24"/>
        </w:rPr>
        <w:t>,0%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</w:t>
      </w:r>
      <w:r w:rsidR="005F582E">
        <w:rPr>
          <w:rFonts w:ascii="Times New Roman" w:hAnsi="Times New Roman" w:cs="Times New Roman"/>
          <w:sz w:val="24"/>
          <w:szCs w:val="24"/>
        </w:rPr>
        <w:t>чётному году, в 201</w:t>
      </w:r>
      <w:r w:rsidR="00F620A1">
        <w:rPr>
          <w:rFonts w:ascii="Times New Roman" w:hAnsi="Times New Roman" w:cs="Times New Roman"/>
          <w:sz w:val="24"/>
          <w:szCs w:val="24"/>
        </w:rPr>
        <w:t>9</w:t>
      </w:r>
      <w:r w:rsidR="005F582E">
        <w:rPr>
          <w:rFonts w:ascii="Times New Roman" w:hAnsi="Times New Roman" w:cs="Times New Roman"/>
          <w:sz w:val="24"/>
          <w:szCs w:val="24"/>
        </w:rPr>
        <w:t xml:space="preserve"> году – 8</w:t>
      </w:r>
      <w:r w:rsidR="00F620A1">
        <w:rPr>
          <w:rFonts w:ascii="Times New Roman" w:hAnsi="Times New Roman" w:cs="Times New Roman"/>
          <w:sz w:val="24"/>
          <w:szCs w:val="24"/>
        </w:rPr>
        <w:t>5</w:t>
      </w:r>
      <w:r w:rsidR="005F582E">
        <w:rPr>
          <w:rFonts w:ascii="Times New Roman" w:hAnsi="Times New Roman" w:cs="Times New Roman"/>
          <w:sz w:val="24"/>
          <w:szCs w:val="24"/>
        </w:rPr>
        <w:t>%;</w:t>
      </w:r>
    </w:p>
    <w:p w:rsidR="00DA5D00" w:rsidRPr="003A1787" w:rsidRDefault="00DA5D00" w:rsidP="005F582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F620A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38%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38%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38%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38%.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3A1787" w:rsidRDefault="00DA5D00" w:rsidP="005F582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A1">
        <w:rPr>
          <w:rFonts w:ascii="Times New Roman" w:hAnsi="Times New Roman" w:cs="Times New Roman"/>
          <w:b/>
          <w:sz w:val="24"/>
          <w:szCs w:val="24"/>
        </w:rPr>
        <w:t>V. Физическая культура и спорт</w:t>
      </w:r>
    </w:p>
    <w:p w:rsidR="00DA5D00" w:rsidRPr="003A1787" w:rsidRDefault="00DA5D00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5D00" w:rsidRPr="003A1787" w:rsidRDefault="00DA5D00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0A1">
        <w:rPr>
          <w:rFonts w:ascii="Times New Roman" w:hAnsi="Times New Roman"/>
          <w:b/>
          <w:sz w:val="24"/>
          <w:szCs w:val="24"/>
        </w:rPr>
        <w:t>п.23. Доля населения, систематически занимающегося физической культурой и спортом:</w:t>
      </w:r>
    </w:p>
    <w:p w:rsidR="00DA5D00" w:rsidRPr="003A1787" w:rsidRDefault="00DA5D00" w:rsidP="005F582E">
      <w:pPr>
        <w:pStyle w:val="a5"/>
        <w:numPr>
          <w:ilvl w:val="0"/>
          <w:numId w:val="3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F620A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4</w:t>
      </w:r>
      <w:r w:rsidR="00F620A1">
        <w:rPr>
          <w:rFonts w:ascii="Times New Roman" w:hAnsi="Times New Roman" w:cs="Times New Roman"/>
          <w:sz w:val="24"/>
          <w:szCs w:val="24"/>
        </w:rPr>
        <w:t>6,35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фактические значения за год, предшествующий </w:t>
      </w:r>
      <w:r w:rsidR="00F620A1">
        <w:rPr>
          <w:rFonts w:ascii="Times New Roman" w:hAnsi="Times New Roman" w:cs="Times New Roman"/>
          <w:sz w:val="24"/>
          <w:szCs w:val="24"/>
        </w:rPr>
        <w:t>на 2 года отчётному году, в 2019 году – 44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5F582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</w:t>
      </w:r>
      <w:r w:rsidR="005F582E">
        <w:rPr>
          <w:rFonts w:ascii="Times New Roman" w:hAnsi="Times New Roman" w:cs="Times New Roman"/>
          <w:sz w:val="24"/>
          <w:szCs w:val="24"/>
        </w:rPr>
        <w:t>я за отчётный 202</w:t>
      </w:r>
      <w:r w:rsidR="00F620A1">
        <w:rPr>
          <w:rFonts w:ascii="Times New Roman" w:hAnsi="Times New Roman" w:cs="Times New Roman"/>
          <w:sz w:val="24"/>
          <w:szCs w:val="24"/>
        </w:rPr>
        <w:t>1</w:t>
      </w:r>
      <w:r w:rsidR="005F582E"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F620A1">
        <w:rPr>
          <w:rFonts w:ascii="Times New Roman" w:hAnsi="Times New Roman" w:cs="Times New Roman"/>
          <w:sz w:val="24"/>
          <w:szCs w:val="24"/>
        </w:rPr>
        <w:t>8,12</w:t>
      </w:r>
      <w:r w:rsidR="005F582E">
        <w:rPr>
          <w:rFonts w:ascii="Times New Roman" w:hAnsi="Times New Roman" w:cs="Times New Roman"/>
          <w:sz w:val="24"/>
          <w:szCs w:val="24"/>
        </w:rPr>
        <w:t>%;</w:t>
      </w:r>
    </w:p>
    <w:p w:rsidR="00DA5D00" w:rsidRPr="003A1787" w:rsidRDefault="00DA5D00" w:rsidP="005F582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49,30</w:t>
      </w:r>
      <w:r w:rsidRPr="003A1787">
        <w:rPr>
          <w:rFonts w:ascii="Times New Roman" w:hAnsi="Times New Roman" w:cs="Times New Roman"/>
          <w:sz w:val="24"/>
          <w:szCs w:val="24"/>
        </w:rPr>
        <w:t>%;</w:t>
      </w:r>
    </w:p>
    <w:p w:rsidR="00DA5D00" w:rsidRPr="003A1787" w:rsidRDefault="00DA5D00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51,70</w:t>
      </w:r>
      <w:r w:rsidRPr="003A1787">
        <w:rPr>
          <w:rFonts w:ascii="Times New Roman" w:hAnsi="Times New Roman" w:cs="Times New Roman"/>
          <w:sz w:val="24"/>
          <w:szCs w:val="24"/>
        </w:rPr>
        <w:t>%;</w:t>
      </w:r>
    </w:p>
    <w:p w:rsidR="00DA5D00" w:rsidRPr="003A1787" w:rsidRDefault="00F620A1" w:rsidP="005F582E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DA5D00"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55,70</w:t>
      </w:r>
      <w:r w:rsidR="00DA5D00" w:rsidRPr="003A1787">
        <w:rPr>
          <w:rFonts w:ascii="Times New Roman" w:hAnsi="Times New Roman" w:cs="Times New Roman"/>
          <w:sz w:val="24"/>
          <w:szCs w:val="24"/>
        </w:rPr>
        <w:t>%.</w:t>
      </w:r>
    </w:p>
    <w:p w:rsidR="00DA5D00" w:rsidRPr="003A1787" w:rsidRDefault="00DA5D00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5D00" w:rsidRPr="003A1787" w:rsidRDefault="00DA5D00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0A1">
        <w:rPr>
          <w:rFonts w:ascii="Times New Roman" w:hAnsi="Times New Roman"/>
          <w:b/>
          <w:sz w:val="24"/>
          <w:szCs w:val="24"/>
        </w:rPr>
        <w:t>п.23.1</w:t>
      </w:r>
      <w:r w:rsidR="006F5919" w:rsidRPr="00F620A1">
        <w:rPr>
          <w:rFonts w:ascii="Times New Roman" w:hAnsi="Times New Roman"/>
          <w:b/>
          <w:sz w:val="24"/>
          <w:szCs w:val="24"/>
        </w:rPr>
        <w:t>.</w:t>
      </w:r>
      <w:r w:rsidRPr="00F620A1">
        <w:rPr>
          <w:rFonts w:ascii="Times New Roman" w:hAnsi="Times New Roman"/>
          <w:b/>
          <w:sz w:val="24"/>
          <w:szCs w:val="24"/>
        </w:rPr>
        <w:t xml:space="preserve"> Доля </w:t>
      </w:r>
      <w:proofErr w:type="gramStart"/>
      <w:r w:rsidRPr="00F620A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620A1">
        <w:rPr>
          <w:rFonts w:ascii="Times New Roman" w:hAnsi="Times New Roman"/>
          <w:b/>
          <w:sz w:val="24"/>
          <w:szCs w:val="24"/>
        </w:rPr>
        <w:t>, систематически занимающихся физической культурой и спортом, в общей численности обучающихся:</w:t>
      </w:r>
    </w:p>
    <w:p w:rsidR="00DA5D00" w:rsidRPr="003A1787" w:rsidRDefault="00DA5D00" w:rsidP="00F620A1">
      <w:pPr>
        <w:pStyle w:val="a5"/>
        <w:numPr>
          <w:ilvl w:val="0"/>
          <w:numId w:val="34"/>
        </w:numPr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F620A1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99,10</w:t>
      </w:r>
      <w:r w:rsidRPr="003A1787">
        <w:rPr>
          <w:rFonts w:ascii="Times New Roman" w:hAnsi="Times New Roman" w:cs="Times New Roman"/>
          <w:sz w:val="24"/>
          <w:szCs w:val="24"/>
        </w:rPr>
        <w:t>%,</w:t>
      </w:r>
    </w:p>
    <w:p w:rsidR="00DA5D00" w:rsidRPr="003A1787" w:rsidRDefault="00DA5D00" w:rsidP="00F620A1">
      <w:pPr>
        <w:pStyle w:val="a5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- фактические значения за год, предшествующий на 2 года отчётному году, в 20</w:t>
      </w:r>
      <w:r w:rsidR="00F620A1">
        <w:rPr>
          <w:rFonts w:ascii="Times New Roman" w:hAnsi="Times New Roman" w:cs="Times New Roman"/>
          <w:sz w:val="24"/>
          <w:szCs w:val="24"/>
        </w:rPr>
        <w:t>19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85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620A1">
      <w:pPr>
        <w:pStyle w:val="a5"/>
        <w:numPr>
          <w:ilvl w:val="0"/>
          <w:numId w:val="34"/>
        </w:numPr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F620A1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620A1">
        <w:rPr>
          <w:rFonts w:ascii="Times New Roman" w:hAnsi="Times New Roman" w:cs="Times New Roman"/>
          <w:sz w:val="24"/>
          <w:szCs w:val="24"/>
        </w:rPr>
        <w:t>95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 w:rsidR="005F582E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620A1">
      <w:pPr>
        <w:pStyle w:val="a5"/>
        <w:numPr>
          <w:ilvl w:val="0"/>
          <w:numId w:val="34"/>
        </w:numPr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5F582E" w:rsidRDefault="00DA5D00" w:rsidP="00F620A1">
      <w:pPr>
        <w:pStyle w:val="a5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96,50</w:t>
      </w:r>
      <w:r w:rsidRPr="003A1787">
        <w:rPr>
          <w:rFonts w:ascii="Times New Roman" w:hAnsi="Times New Roman" w:cs="Times New Roman"/>
          <w:sz w:val="24"/>
          <w:szCs w:val="24"/>
        </w:rPr>
        <w:t>%;</w:t>
      </w:r>
    </w:p>
    <w:p w:rsidR="005F582E" w:rsidRDefault="00DA5D00" w:rsidP="00F620A1">
      <w:pPr>
        <w:pStyle w:val="a5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20A1">
        <w:rPr>
          <w:rFonts w:ascii="Times New Roman" w:hAnsi="Times New Roman" w:cs="Times New Roman"/>
          <w:sz w:val="24"/>
          <w:szCs w:val="24"/>
        </w:rPr>
        <w:t>97,50</w:t>
      </w:r>
      <w:r w:rsidRPr="003A1787">
        <w:rPr>
          <w:rFonts w:ascii="Times New Roman" w:hAnsi="Times New Roman" w:cs="Times New Roman"/>
          <w:sz w:val="24"/>
          <w:szCs w:val="24"/>
        </w:rPr>
        <w:t>%;</w:t>
      </w:r>
    </w:p>
    <w:p w:rsidR="00DA5D00" w:rsidRDefault="00DA5D00" w:rsidP="00F620A1">
      <w:pPr>
        <w:pStyle w:val="a5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F620A1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99,1</w:t>
      </w:r>
      <w:r w:rsidR="00F620A1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>%.</w:t>
      </w:r>
    </w:p>
    <w:p w:rsidR="005F582E" w:rsidRPr="005F582E" w:rsidRDefault="005F582E" w:rsidP="005F582E">
      <w:pPr>
        <w:pStyle w:val="a5"/>
        <w:ind w:left="70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00" w:rsidRPr="005F582E" w:rsidRDefault="00DA5D00" w:rsidP="005F582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2E">
        <w:rPr>
          <w:rFonts w:ascii="Times New Roman" w:hAnsi="Times New Roman" w:cs="Times New Roman"/>
          <w:b/>
          <w:sz w:val="24"/>
          <w:szCs w:val="24"/>
        </w:rPr>
        <w:lastRenderedPageBreak/>
        <w:t>VI. Жилищное строительство и обеспечение граждан жильем</w:t>
      </w:r>
    </w:p>
    <w:p w:rsidR="005F582E" w:rsidRPr="003A1787" w:rsidRDefault="005F582E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3A1787" w:rsidRDefault="00DA5D00" w:rsidP="003A17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3A1787">
        <w:rPr>
          <w:rStyle w:val="normaltextrun"/>
          <w:b/>
          <w:bCs/>
        </w:rPr>
        <w:t>п.24</w:t>
      </w:r>
      <w:r w:rsidR="006F5919">
        <w:rPr>
          <w:rStyle w:val="normaltextrun"/>
          <w:b/>
          <w:bCs/>
        </w:rPr>
        <w:t>.</w:t>
      </w:r>
      <w:r w:rsidRPr="003A1787">
        <w:rPr>
          <w:rStyle w:val="normaltextrun"/>
          <w:b/>
          <w:bCs/>
        </w:rPr>
        <w:t xml:space="preserve"> Общая площадь жилых помещений, приходящаяся в среднем на одного жителя – всего</w:t>
      </w:r>
      <w:r w:rsidR="005F582E">
        <w:rPr>
          <w:rStyle w:val="normaltextrun"/>
          <w:b/>
          <w:bCs/>
        </w:rPr>
        <w:t>: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 год, предшествующий отчетному году, в 2020 году –  33,13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  <w:r w:rsidRPr="008A53F7">
        <w:rPr>
          <w:rFonts w:ascii="Times New Roman" w:hAnsi="Times New Roman"/>
          <w:sz w:val="24"/>
          <w:szCs w:val="28"/>
        </w:rPr>
        <w:t xml:space="preserve"> (уточнено и выведено из представленных официальных данных: общей квадратуры жилого фонда – 2570,97 тыс.кв.м на 01.01.2020, объема введенного жилья на 2020 год – 410,63 тыс.кв.м, а также увеличившейся численности населения на 01.01.2020 – 77,6 тыс.чел.)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 год, предшествующий на 2 года отчетному году, в 2019 году – 32,10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 отчетный 2021 год –  39,40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планируемые значения на 3-х летний период: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 xml:space="preserve">  в 2022 году – 43,25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 xml:space="preserve">  в 2023 году – 47,53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 xml:space="preserve">  в 2024 году – 52,05 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в том числе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A53F7">
        <w:rPr>
          <w:rFonts w:ascii="Times New Roman" w:hAnsi="Times New Roman"/>
          <w:sz w:val="24"/>
          <w:szCs w:val="28"/>
        </w:rPr>
        <w:t>введённая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в действие за год: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 год, предшествующий отчётному году, в 2020</w:t>
      </w:r>
      <w:r>
        <w:rPr>
          <w:rFonts w:ascii="Times New Roman" w:hAnsi="Times New Roman"/>
          <w:sz w:val="24"/>
          <w:szCs w:val="28"/>
        </w:rPr>
        <w:t xml:space="preserve"> году – </w:t>
      </w:r>
      <w:r w:rsidRPr="008A53F7">
        <w:rPr>
          <w:rFonts w:ascii="Times New Roman" w:hAnsi="Times New Roman"/>
          <w:sz w:val="24"/>
          <w:szCs w:val="28"/>
        </w:rPr>
        <w:t>5,29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  <w:r>
        <w:rPr>
          <w:rFonts w:ascii="Times New Roman" w:hAnsi="Times New Roman"/>
          <w:sz w:val="24"/>
          <w:szCs w:val="28"/>
        </w:rPr>
        <w:t>;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 год, предшествующий на 2 года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отчётному году, в 2019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году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4,62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кв</w:t>
      </w:r>
      <w:proofErr w:type="gramStart"/>
      <w:r w:rsidRPr="008A53F7">
        <w:rPr>
          <w:rFonts w:ascii="Times New Roman" w:hAnsi="Times New Roman"/>
          <w:sz w:val="24"/>
          <w:szCs w:val="28"/>
        </w:rPr>
        <w:t>.м</w:t>
      </w:r>
      <w:proofErr w:type="gramEnd"/>
      <w:r>
        <w:rPr>
          <w:rFonts w:ascii="Times New Roman" w:hAnsi="Times New Roman"/>
          <w:sz w:val="24"/>
          <w:szCs w:val="28"/>
        </w:rPr>
        <w:t>;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фактические значения за отчётный 2021 год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7,31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кв.м</w:t>
      </w:r>
      <w:r>
        <w:rPr>
          <w:rFonts w:ascii="Times New Roman" w:hAnsi="Times New Roman"/>
          <w:sz w:val="24"/>
          <w:szCs w:val="28"/>
        </w:rPr>
        <w:t>.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- планируемые значения на 3-х летний период: 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в 2022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году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4,90 кв.м</w:t>
      </w:r>
      <w:r>
        <w:rPr>
          <w:rFonts w:ascii="Times New Roman" w:hAnsi="Times New Roman"/>
          <w:sz w:val="24"/>
          <w:szCs w:val="28"/>
        </w:rPr>
        <w:t>.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в 2023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году – 5,31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кв.м</w:t>
      </w:r>
      <w:r>
        <w:rPr>
          <w:rFonts w:ascii="Times New Roman" w:hAnsi="Times New Roman"/>
          <w:sz w:val="24"/>
          <w:szCs w:val="28"/>
        </w:rPr>
        <w:t>.</w:t>
      </w:r>
    </w:p>
    <w:p w:rsidR="008A53F7" w:rsidRPr="008A53F7" w:rsidRDefault="008A53F7" w:rsidP="008A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A53F7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2024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году –5,74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53F7">
        <w:rPr>
          <w:rFonts w:ascii="Times New Roman" w:hAnsi="Times New Roman"/>
          <w:sz w:val="24"/>
          <w:szCs w:val="28"/>
        </w:rPr>
        <w:t>кв.м</w:t>
      </w:r>
      <w:r>
        <w:rPr>
          <w:rFonts w:ascii="Times New Roman" w:hAnsi="Times New Roman"/>
          <w:sz w:val="24"/>
          <w:szCs w:val="28"/>
        </w:rPr>
        <w:t>.</w:t>
      </w:r>
    </w:p>
    <w:p w:rsidR="00DA5D00" w:rsidRPr="003A1787" w:rsidRDefault="00DA5D00" w:rsidP="003A178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7D">
        <w:rPr>
          <w:rFonts w:ascii="Times New Roman" w:hAnsi="Times New Roman" w:cs="Times New Roman"/>
          <w:b/>
          <w:sz w:val="24"/>
          <w:szCs w:val="24"/>
        </w:rPr>
        <w:t>п.25. Площадь земельных участков, предоставленных для строительства в расчете на 10 тыс. человек населения, - всего</w:t>
      </w:r>
      <w:r w:rsidR="00F1416D" w:rsidRPr="0075397D">
        <w:rPr>
          <w:rFonts w:ascii="Times New Roman" w:hAnsi="Times New Roman" w:cs="Times New Roman"/>
          <w:b/>
          <w:sz w:val="24"/>
          <w:szCs w:val="24"/>
        </w:rPr>
        <w:t>:</w:t>
      </w:r>
    </w:p>
    <w:p w:rsidR="00DA5D00" w:rsidRPr="003A1787" w:rsidRDefault="00DA5D00" w:rsidP="00F1416D">
      <w:pPr>
        <w:pStyle w:val="a5"/>
        <w:numPr>
          <w:ilvl w:val="0"/>
          <w:numId w:val="3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75397D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397D">
        <w:rPr>
          <w:rFonts w:ascii="Times New Roman" w:hAnsi="Times New Roman" w:cs="Times New Roman"/>
          <w:sz w:val="24"/>
          <w:szCs w:val="24"/>
        </w:rPr>
        <w:t>0,62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numPr>
          <w:ilvl w:val="0"/>
          <w:numId w:val="3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75397D"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397D">
        <w:rPr>
          <w:rFonts w:ascii="Times New Roman" w:hAnsi="Times New Roman" w:cs="Times New Roman"/>
          <w:sz w:val="24"/>
          <w:szCs w:val="24"/>
        </w:rPr>
        <w:t>2,35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75397D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397D">
        <w:rPr>
          <w:rFonts w:ascii="Times New Roman" w:hAnsi="Times New Roman" w:cs="Times New Roman"/>
          <w:sz w:val="24"/>
          <w:szCs w:val="24"/>
        </w:rPr>
        <w:t>3,82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397D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4,2</w:t>
      </w:r>
      <w:r w:rsidR="0075397D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397D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397D">
        <w:rPr>
          <w:rFonts w:ascii="Times New Roman" w:hAnsi="Times New Roman" w:cs="Times New Roman"/>
          <w:sz w:val="24"/>
          <w:szCs w:val="24"/>
        </w:rPr>
        <w:t>4,00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75397D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5397D">
        <w:rPr>
          <w:rFonts w:ascii="Times New Roman" w:hAnsi="Times New Roman" w:cs="Times New Roman"/>
          <w:sz w:val="24"/>
          <w:szCs w:val="24"/>
        </w:rPr>
        <w:t>3,50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84">
        <w:rPr>
          <w:rFonts w:ascii="Times New Roman" w:hAnsi="Times New Roman" w:cs="Times New Roman"/>
          <w:b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B60B84" w:rsidRPr="00B60B84">
        <w:rPr>
          <w:rFonts w:ascii="Times New Roman" w:hAnsi="Times New Roman" w:cs="Times New Roman"/>
          <w:b/>
          <w:sz w:val="24"/>
          <w:szCs w:val="24"/>
        </w:rPr>
        <w:t>:</w:t>
      </w:r>
    </w:p>
    <w:p w:rsidR="00DA5D00" w:rsidRPr="003A1787" w:rsidRDefault="00DA5D00" w:rsidP="00F1416D">
      <w:pPr>
        <w:pStyle w:val="a5"/>
        <w:numPr>
          <w:ilvl w:val="0"/>
          <w:numId w:val="3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 w:rsidR="00B60B84"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60B84">
        <w:rPr>
          <w:rFonts w:ascii="Times New Roman" w:hAnsi="Times New Roman" w:cs="Times New Roman"/>
          <w:sz w:val="24"/>
          <w:szCs w:val="24"/>
        </w:rPr>
        <w:t>0,62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numPr>
          <w:ilvl w:val="0"/>
          <w:numId w:val="3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фактические значения за год, предшествующий на 2 года отчётному году, в </w:t>
      </w:r>
      <w:r w:rsidR="00B60B84">
        <w:rPr>
          <w:rFonts w:ascii="Times New Roman" w:hAnsi="Times New Roman" w:cs="Times New Roman"/>
          <w:sz w:val="24"/>
          <w:szCs w:val="24"/>
        </w:rPr>
        <w:t>2019</w:t>
      </w:r>
      <w:r w:rsidR="00F141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60B84">
        <w:rPr>
          <w:rFonts w:ascii="Times New Roman" w:hAnsi="Times New Roman" w:cs="Times New Roman"/>
          <w:sz w:val="24"/>
          <w:szCs w:val="24"/>
        </w:rPr>
        <w:t>2,35</w:t>
      </w:r>
      <w:r w:rsidR="00F1416D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DA5D00" w:rsidRPr="003A1787" w:rsidRDefault="00DA5D00" w:rsidP="00F1416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 w:rsidR="00B60B84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60B84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>,6</w:t>
      </w:r>
      <w:r w:rsidR="00B60B84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B60B84"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60B84">
        <w:rPr>
          <w:rFonts w:ascii="Times New Roman" w:hAnsi="Times New Roman" w:cs="Times New Roman"/>
          <w:sz w:val="24"/>
          <w:szCs w:val="24"/>
        </w:rPr>
        <w:t>1,80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B60B84"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60B84"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>,5</w:t>
      </w:r>
      <w:r w:rsidR="00B60B84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</w:t>
      </w:r>
      <w:r w:rsidR="00F1416D">
        <w:rPr>
          <w:rFonts w:ascii="Times New Roman" w:hAnsi="Times New Roman" w:cs="Times New Roman"/>
          <w:sz w:val="24"/>
          <w:szCs w:val="24"/>
        </w:rPr>
        <w:t>;</w:t>
      </w:r>
    </w:p>
    <w:p w:rsidR="00DA5D00" w:rsidRPr="003A1787" w:rsidRDefault="00DA5D00" w:rsidP="00F1416D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 w:rsidR="00B60B84"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1,2</w:t>
      </w:r>
      <w:r w:rsidR="00B60B84">
        <w:rPr>
          <w:rFonts w:ascii="Times New Roman" w:hAnsi="Times New Roman" w:cs="Times New Roman"/>
          <w:sz w:val="24"/>
          <w:szCs w:val="24"/>
        </w:rPr>
        <w:t>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0E74A3" w:rsidRDefault="000E74A3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4A3">
        <w:rPr>
          <w:rFonts w:ascii="Times New Roman" w:hAnsi="Times New Roman"/>
          <w:b/>
          <w:sz w:val="24"/>
          <w:szCs w:val="24"/>
        </w:rPr>
        <w:lastRenderedPageBreak/>
        <w:t xml:space="preserve">п.26. Площадь земельных участков, предоставленных для строительства, в отношении которых </w:t>
      </w:r>
      <w:proofErr w:type="gramStart"/>
      <w:r w:rsidRPr="000E74A3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Pr="000E74A3">
        <w:rPr>
          <w:rFonts w:ascii="Times New Roman" w:hAnsi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</w:t>
      </w:r>
      <w:r>
        <w:rPr>
          <w:rFonts w:ascii="Times New Roman" w:hAnsi="Times New Roman"/>
          <w:b/>
          <w:sz w:val="24"/>
          <w:szCs w:val="24"/>
        </w:rPr>
        <w:t>ах</w:t>
      </w:r>
      <w:r w:rsidRPr="000E74A3">
        <w:rPr>
          <w:rFonts w:ascii="Times New Roman" w:hAnsi="Times New Roman"/>
          <w:b/>
          <w:sz w:val="24"/>
          <w:szCs w:val="24"/>
        </w:rPr>
        <w:t xml:space="preserve"> торгов (конкурсов, аукционов) не было получено разрешение на ввод в эксплуатацию:</w:t>
      </w:r>
    </w:p>
    <w:p w:rsidR="0052676B" w:rsidRDefault="00DA5D00" w:rsidP="0052676B">
      <w:pPr>
        <w:pStyle w:val="ab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52676B">
        <w:rPr>
          <w:rFonts w:ascii="Times New Roman" w:hAnsi="Times New Roman"/>
          <w:sz w:val="24"/>
          <w:szCs w:val="24"/>
        </w:rPr>
        <w:t>объектов жилищного строительства - в течение 3 лет в отчетном 202</w:t>
      </w:r>
      <w:r w:rsidR="008A53F7">
        <w:rPr>
          <w:rFonts w:ascii="Times New Roman" w:hAnsi="Times New Roman"/>
          <w:sz w:val="24"/>
          <w:szCs w:val="24"/>
        </w:rPr>
        <w:t>1</w:t>
      </w:r>
      <w:r w:rsidRPr="0052676B">
        <w:rPr>
          <w:rFonts w:ascii="Times New Roman" w:hAnsi="Times New Roman"/>
          <w:sz w:val="24"/>
          <w:szCs w:val="24"/>
        </w:rPr>
        <w:t xml:space="preserve"> году составляет 0 кв.м</w:t>
      </w:r>
      <w:r w:rsidR="0052676B">
        <w:rPr>
          <w:rFonts w:ascii="Times New Roman" w:hAnsi="Times New Roman"/>
          <w:sz w:val="24"/>
          <w:szCs w:val="24"/>
        </w:rPr>
        <w:t>.;</w:t>
      </w:r>
    </w:p>
    <w:p w:rsidR="00DA5D00" w:rsidRDefault="00DA5D00" w:rsidP="0052676B">
      <w:pPr>
        <w:pStyle w:val="ab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52676B">
        <w:rPr>
          <w:rFonts w:ascii="Times New Roman" w:hAnsi="Times New Roman"/>
          <w:sz w:val="24"/>
          <w:szCs w:val="24"/>
        </w:rPr>
        <w:t xml:space="preserve"> иных объектов капитального строительства - в течение 5 лет в отчетном 202</w:t>
      </w:r>
      <w:r w:rsidR="008A53F7">
        <w:rPr>
          <w:rFonts w:ascii="Times New Roman" w:hAnsi="Times New Roman"/>
          <w:sz w:val="24"/>
          <w:szCs w:val="24"/>
        </w:rPr>
        <w:t>1</w:t>
      </w:r>
      <w:r w:rsidRPr="0052676B">
        <w:rPr>
          <w:rFonts w:ascii="Times New Roman" w:hAnsi="Times New Roman"/>
          <w:sz w:val="24"/>
          <w:szCs w:val="24"/>
        </w:rPr>
        <w:t xml:space="preserve"> году составляет 0 кв.м.</w:t>
      </w:r>
    </w:p>
    <w:p w:rsidR="004908A4" w:rsidRPr="0052676B" w:rsidRDefault="004908A4" w:rsidP="0052676B">
      <w:pPr>
        <w:pStyle w:val="ab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782A75" w:rsidRDefault="00B12FCA" w:rsidP="00782A75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A75" w:rsidRPr="003A1787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782A75" w:rsidRPr="003A1787" w:rsidRDefault="00782A75" w:rsidP="003A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8A4" w:rsidRPr="00E8248D" w:rsidRDefault="004908A4" w:rsidP="004908A4">
      <w:pPr>
        <w:spacing w:after="0" w:line="240" w:lineRule="auto"/>
        <w:ind w:firstLine="709"/>
        <w:jc w:val="both"/>
        <w:rPr>
          <w:rFonts w:cs="Calibri"/>
        </w:rPr>
      </w:pPr>
      <w:r w:rsidRPr="00E8248D">
        <w:rPr>
          <w:rFonts w:ascii="Times New Roman" w:hAnsi="Times New Roman"/>
          <w:b/>
          <w:bCs/>
          <w:sz w:val="24"/>
          <w:szCs w:val="24"/>
        </w:rPr>
        <w:t>п.27.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домами:</w:t>
      </w:r>
    </w:p>
    <w:p w:rsidR="004908A4" w:rsidRPr="00E8248D" w:rsidRDefault="004908A4" w:rsidP="004908A4">
      <w:pPr>
        <w:numPr>
          <w:ilvl w:val="0"/>
          <w:numId w:val="67"/>
        </w:numPr>
        <w:spacing w:before="100" w:beforeAutospacing="1" w:after="0" w:line="240" w:lineRule="auto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2020 году – 100%;</w:t>
      </w:r>
    </w:p>
    <w:p w:rsidR="004908A4" w:rsidRPr="00E8248D" w:rsidRDefault="004908A4" w:rsidP="004908A4">
      <w:pPr>
        <w:numPr>
          <w:ilvl w:val="0"/>
          <w:numId w:val="67"/>
        </w:numPr>
        <w:spacing w:before="100" w:beforeAutospacing="1" w:after="0" w:line="240" w:lineRule="auto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2019 году – 100%;</w:t>
      </w:r>
    </w:p>
    <w:p w:rsidR="004908A4" w:rsidRPr="00E8248D" w:rsidRDefault="004908A4" w:rsidP="004908A4">
      <w:pPr>
        <w:numPr>
          <w:ilvl w:val="0"/>
          <w:numId w:val="67"/>
        </w:numPr>
        <w:spacing w:before="100" w:beforeAutospacing="1" w:after="0" w:line="240" w:lineRule="auto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фактические значения за отчётный 2021 год – 100%;</w:t>
      </w:r>
    </w:p>
    <w:p w:rsidR="004908A4" w:rsidRPr="00E8248D" w:rsidRDefault="004908A4" w:rsidP="004908A4">
      <w:pPr>
        <w:numPr>
          <w:ilvl w:val="0"/>
          <w:numId w:val="67"/>
        </w:numPr>
        <w:spacing w:before="100" w:beforeAutospacing="1" w:after="0" w:line="240" w:lineRule="auto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4908A4" w:rsidRPr="00E8248D" w:rsidRDefault="004908A4" w:rsidP="004908A4">
      <w:pPr>
        <w:spacing w:after="0" w:line="240" w:lineRule="auto"/>
        <w:ind w:firstLine="709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в 2022 году – 100%;</w:t>
      </w:r>
    </w:p>
    <w:p w:rsidR="004908A4" w:rsidRPr="00E8248D" w:rsidRDefault="004908A4" w:rsidP="004908A4">
      <w:pPr>
        <w:spacing w:after="0" w:line="240" w:lineRule="auto"/>
        <w:ind w:firstLine="709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в 2023 году – 100%;</w:t>
      </w:r>
    </w:p>
    <w:p w:rsidR="004908A4" w:rsidRPr="00E8248D" w:rsidRDefault="004908A4" w:rsidP="004908A4">
      <w:pPr>
        <w:spacing w:after="0" w:line="240" w:lineRule="auto"/>
        <w:ind w:firstLine="709"/>
        <w:jc w:val="both"/>
        <w:rPr>
          <w:rFonts w:cs="Calibri"/>
        </w:rPr>
      </w:pPr>
      <w:r w:rsidRPr="00E8248D">
        <w:rPr>
          <w:rFonts w:ascii="Times New Roman" w:hAnsi="Times New Roman"/>
          <w:sz w:val="24"/>
          <w:szCs w:val="24"/>
        </w:rPr>
        <w:t>в 2024 году – 100%.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3A1787" w:rsidRDefault="00DA5D00" w:rsidP="003A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787">
        <w:rPr>
          <w:rFonts w:ascii="Times New Roman" w:hAnsi="Times New Roman"/>
          <w:b/>
          <w:sz w:val="24"/>
          <w:szCs w:val="24"/>
        </w:rPr>
        <w:t xml:space="preserve">п.28. </w:t>
      </w:r>
      <w:proofErr w:type="gramStart"/>
      <w:r w:rsidRPr="003A1787">
        <w:rPr>
          <w:rFonts w:ascii="Times New Roman" w:hAnsi="Times New Roman"/>
          <w:b/>
          <w:sz w:val="24"/>
          <w:szCs w:val="24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3A1787">
        <w:rPr>
          <w:rFonts w:ascii="Times New Roman" w:hAnsi="Times New Roman"/>
          <w:b/>
          <w:sz w:val="24"/>
          <w:szCs w:val="24"/>
        </w:rPr>
        <w:t>водо</w:t>
      </w:r>
      <w:proofErr w:type="spellEnd"/>
      <w:r w:rsidR="00782A75">
        <w:rPr>
          <w:rFonts w:ascii="Times New Roman" w:hAnsi="Times New Roman"/>
          <w:b/>
          <w:sz w:val="24"/>
          <w:szCs w:val="24"/>
        </w:rPr>
        <w:t xml:space="preserve"> </w:t>
      </w:r>
      <w:r w:rsidRPr="003A1787">
        <w:rPr>
          <w:rFonts w:ascii="Times New Roman" w:hAnsi="Times New Roman"/>
          <w:b/>
          <w:sz w:val="24"/>
          <w:szCs w:val="24"/>
        </w:rPr>
        <w:t>-, тепло</w:t>
      </w:r>
      <w:r w:rsidR="00782A75">
        <w:rPr>
          <w:rFonts w:ascii="Times New Roman" w:hAnsi="Times New Roman"/>
          <w:b/>
          <w:sz w:val="24"/>
          <w:szCs w:val="24"/>
        </w:rPr>
        <w:t xml:space="preserve"> </w:t>
      </w:r>
      <w:r w:rsidRPr="003A1787">
        <w:rPr>
          <w:rFonts w:ascii="Times New Roman" w:hAnsi="Times New Roman"/>
          <w:b/>
          <w:sz w:val="24"/>
          <w:szCs w:val="24"/>
        </w:rPr>
        <w:t xml:space="preserve">-, </w:t>
      </w:r>
      <w:proofErr w:type="spellStart"/>
      <w:r w:rsidRPr="003A1787">
        <w:rPr>
          <w:rFonts w:ascii="Times New Roman" w:hAnsi="Times New Roman"/>
          <w:b/>
          <w:sz w:val="24"/>
          <w:szCs w:val="24"/>
        </w:rPr>
        <w:t>газо</w:t>
      </w:r>
      <w:proofErr w:type="spellEnd"/>
      <w:r w:rsidR="00782A75">
        <w:rPr>
          <w:rFonts w:ascii="Times New Roman" w:hAnsi="Times New Roman"/>
          <w:b/>
          <w:sz w:val="24"/>
          <w:szCs w:val="24"/>
        </w:rPr>
        <w:t xml:space="preserve"> </w:t>
      </w:r>
      <w:r w:rsidRPr="003A1787">
        <w:rPr>
          <w:rFonts w:ascii="Times New Roman" w:hAnsi="Times New Roman"/>
          <w:b/>
          <w:sz w:val="24"/>
          <w:szCs w:val="24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</w:t>
      </w:r>
      <w:proofErr w:type="gramEnd"/>
      <w:r w:rsidRPr="003A1787">
        <w:rPr>
          <w:rFonts w:ascii="Times New Roman" w:hAnsi="Times New Roman"/>
          <w:b/>
          <w:sz w:val="24"/>
          <w:szCs w:val="24"/>
        </w:rPr>
        <w:t xml:space="preserve"> коммунального комплекса, </w:t>
      </w:r>
      <w:proofErr w:type="gramStart"/>
      <w:r w:rsidRPr="003A1787">
        <w:rPr>
          <w:rFonts w:ascii="Times New Roman" w:hAnsi="Times New Roman"/>
          <w:b/>
          <w:sz w:val="24"/>
          <w:szCs w:val="24"/>
        </w:rPr>
        <w:t>осуществляющих</w:t>
      </w:r>
      <w:proofErr w:type="gramEnd"/>
      <w:r w:rsidRPr="003A1787">
        <w:rPr>
          <w:rFonts w:ascii="Times New Roman" w:hAnsi="Times New Roman"/>
          <w:b/>
          <w:sz w:val="24"/>
          <w:szCs w:val="24"/>
        </w:rPr>
        <w:t xml:space="preserve"> свою деятельность на территории городского округа (муниципального района):</w:t>
      </w:r>
    </w:p>
    <w:p w:rsidR="004908A4" w:rsidRPr="004908A4" w:rsidRDefault="004908A4" w:rsidP="004908A4">
      <w:pPr>
        <w:pStyle w:val="a5"/>
        <w:numPr>
          <w:ilvl w:val="0"/>
          <w:numId w:val="4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87,5%;</w:t>
      </w:r>
    </w:p>
    <w:p w:rsidR="004908A4" w:rsidRPr="004908A4" w:rsidRDefault="004908A4" w:rsidP="004908A4">
      <w:pPr>
        <w:pStyle w:val="a5"/>
        <w:numPr>
          <w:ilvl w:val="0"/>
          <w:numId w:val="4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86,8%;</w:t>
      </w:r>
    </w:p>
    <w:p w:rsidR="004908A4" w:rsidRPr="004908A4" w:rsidRDefault="004908A4" w:rsidP="004908A4">
      <w:pPr>
        <w:pStyle w:val="a5"/>
        <w:numPr>
          <w:ilvl w:val="0"/>
          <w:numId w:val="4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87,50%;</w:t>
      </w:r>
    </w:p>
    <w:p w:rsidR="004908A4" w:rsidRPr="004908A4" w:rsidRDefault="004908A4" w:rsidP="004908A4">
      <w:pPr>
        <w:pStyle w:val="a5"/>
        <w:numPr>
          <w:ilvl w:val="0"/>
          <w:numId w:val="4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4908A4" w:rsidRPr="004908A4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в 2022 году – 87,50%;</w:t>
      </w:r>
    </w:p>
    <w:p w:rsidR="004908A4" w:rsidRPr="004908A4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в 2023 году – 87,50%;</w:t>
      </w:r>
    </w:p>
    <w:p w:rsidR="004908A4" w:rsidRPr="003A1787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A4">
        <w:rPr>
          <w:rFonts w:ascii="Times New Roman" w:hAnsi="Times New Roman" w:cs="Times New Roman"/>
          <w:sz w:val="24"/>
          <w:szCs w:val="24"/>
        </w:rPr>
        <w:t>в 2024 году – 87,50%.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782A75" w:rsidRDefault="00DA5D00" w:rsidP="003A17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57B3">
        <w:rPr>
          <w:rFonts w:ascii="Times New Roman" w:hAnsi="Times New Roman"/>
          <w:b/>
          <w:sz w:val="24"/>
          <w:szCs w:val="24"/>
        </w:rPr>
        <w:t>п.29.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DA5D00" w:rsidRPr="00782A75" w:rsidRDefault="00DA5D00" w:rsidP="00782A75">
      <w:pPr>
        <w:pStyle w:val="ab"/>
        <w:numPr>
          <w:ilvl w:val="0"/>
          <w:numId w:val="42"/>
        </w:numPr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782A75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</w:t>
      </w:r>
      <w:r w:rsidR="00401541">
        <w:rPr>
          <w:rFonts w:ascii="Times New Roman" w:hAnsi="Times New Roman"/>
          <w:sz w:val="24"/>
          <w:szCs w:val="24"/>
        </w:rPr>
        <w:t>20</w:t>
      </w:r>
      <w:r w:rsidRPr="00782A75">
        <w:rPr>
          <w:rFonts w:ascii="Times New Roman" w:hAnsi="Times New Roman"/>
          <w:sz w:val="24"/>
          <w:szCs w:val="24"/>
        </w:rPr>
        <w:t xml:space="preserve"> году – 61%</w:t>
      </w:r>
      <w:r w:rsidR="00782A75">
        <w:rPr>
          <w:rFonts w:ascii="Times New Roman" w:hAnsi="Times New Roman"/>
          <w:sz w:val="24"/>
          <w:szCs w:val="24"/>
        </w:rPr>
        <w:t>;</w:t>
      </w:r>
    </w:p>
    <w:p w:rsidR="00DA5D00" w:rsidRPr="00782A75" w:rsidRDefault="00DA5D00" w:rsidP="00782A75">
      <w:pPr>
        <w:pStyle w:val="ab"/>
        <w:numPr>
          <w:ilvl w:val="0"/>
          <w:numId w:val="4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782A75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</w:t>
      </w:r>
      <w:r w:rsidR="00782A75">
        <w:rPr>
          <w:rFonts w:ascii="Times New Roman" w:hAnsi="Times New Roman"/>
          <w:sz w:val="24"/>
          <w:szCs w:val="24"/>
        </w:rPr>
        <w:t>чётному году, в 201</w:t>
      </w:r>
      <w:r w:rsidR="00401541">
        <w:rPr>
          <w:rFonts w:ascii="Times New Roman" w:hAnsi="Times New Roman"/>
          <w:sz w:val="24"/>
          <w:szCs w:val="24"/>
        </w:rPr>
        <w:t>9</w:t>
      </w:r>
      <w:r w:rsidR="00782A75">
        <w:rPr>
          <w:rFonts w:ascii="Times New Roman" w:hAnsi="Times New Roman"/>
          <w:sz w:val="24"/>
          <w:szCs w:val="24"/>
        </w:rPr>
        <w:t xml:space="preserve"> году – 61%;</w:t>
      </w:r>
    </w:p>
    <w:p w:rsidR="00DA5D00" w:rsidRPr="00782A75" w:rsidRDefault="00DA5D00" w:rsidP="00782A7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75">
        <w:rPr>
          <w:rFonts w:ascii="Times New Roman" w:hAnsi="Times New Roman"/>
          <w:sz w:val="24"/>
          <w:szCs w:val="24"/>
        </w:rPr>
        <w:t>фактические значения за отчётный 202</w:t>
      </w:r>
      <w:r w:rsidR="00401541">
        <w:rPr>
          <w:rFonts w:ascii="Times New Roman" w:hAnsi="Times New Roman"/>
          <w:sz w:val="24"/>
          <w:szCs w:val="24"/>
        </w:rPr>
        <w:t>1</w:t>
      </w:r>
      <w:r w:rsidRPr="00782A75">
        <w:rPr>
          <w:rFonts w:ascii="Times New Roman" w:hAnsi="Times New Roman"/>
          <w:sz w:val="24"/>
          <w:szCs w:val="24"/>
        </w:rPr>
        <w:t xml:space="preserve"> год – 6</w:t>
      </w:r>
      <w:r w:rsidR="00401541">
        <w:rPr>
          <w:rFonts w:ascii="Times New Roman" w:hAnsi="Times New Roman"/>
          <w:sz w:val="24"/>
          <w:szCs w:val="24"/>
        </w:rPr>
        <w:t>2</w:t>
      </w:r>
      <w:r w:rsidRPr="00782A75">
        <w:rPr>
          <w:rFonts w:ascii="Times New Roman" w:hAnsi="Times New Roman"/>
          <w:sz w:val="24"/>
          <w:szCs w:val="24"/>
        </w:rPr>
        <w:t>%</w:t>
      </w:r>
      <w:r w:rsidR="00782A75">
        <w:rPr>
          <w:rFonts w:ascii="Times New Roman" w:hAnsi="Times New Roman"/>
          <w:sz w:val="24"/>
          <w:szCs w:val="24"/>
        </w:rPr>
        <w:t>;</w:t>
      </w:r>
    </w:p>
    <w:p w:rsidR="00DA5D00" w:rsidRPr="00782A75" w:rsidRDefault="00DA5D00" w:rsidP="00782A7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75">
        <w:rPr>
          <w:rFonts w:ascii="Times New Roman" w:hAnsi="Times New Roman"/>
          <w:sz w:val="24"/>
          <w:szCs w:val="24"/>
        </w:rPr>
        <w:lastRenderedPageBreak/>
        <w:t>планируемые значения на 3-х летний период:</w:t>
      </w:r>
    </w:p>
    <w:p w:rsidR="00DA5D00" w:rsidRPr="003A1787" w:rsidRDefault="00DA5D00" w:rsidP="00782A75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9757B3">
        <w:rPr>
          <w:rFonts w:ascii="Times New Roman" w:hAnsi="Times New Roman"/>
          <w:sz w:val="24"/>
          <w:szCs w:val="24"/>
        </w:rPr>
        <w:t>2</w:t>
      </w:r>
      <w:r w:rsidRPr="003A1787">
        <w:rPr>
          <w:rFonts w:ascii="Times New Roman" w:hAnsi="Times New Roman"/>
          <w:sz w:val="24"/>
          <w:szCs w:val="24"/>
        </w:rPr>
        <w:t xml:space="preserve"> году – 6</w:t>
      </w:r>
      <w:r w:rsidR="009757B3"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>%</w:t>
      </w:r>
      <w:r w:rsidR="00782A75">
        <w:rPr>
          <w:rFonts w:ascii="Times New Roman" w:hAnsi="Times New Roman"/>
          <w:sz w:val="24"/>
          <w:szCs w:val="24"/>
        </w:rPr>
        <w:t>;</w:t>
      </w:r>
    </w:p>
    <w:p w:rsidR="00DA5D00" w:rsidRPr="003A1787" w:rsidRDefault="00DA5D00" w:rsidP="00782A75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9757B3"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 xml:space="preserve"> году – 65%</w:t>
      </w:r>
      <w:r w:rsidR="00782A75">
        <w:rPr>
          <w:rFonts w:ascii="Times New Roman" w:hAnsi="Times New Roman"/>
          <w:sz w:val="24"/>
          <w:szCs w:val="24"/>
        </w:rPr>
        <w:t>;</w:t>
      </w:r>
    </w:p>
    <w:p w:rsidR="00DA5D00" w:rsidRDefault="00DA5D00" w:rsidP="00782A75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9757B3"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 xml:space="preserve"> году – 68%.</w:t>
      </w:r>
    </w:p>
    <w:p w:rsidR="00782A75" w:rsidRPr="003A1787" w:rsidRDefault="00782A75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00" w:rsidRPr="003A1787" w:rsidRDefault="006F5919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DA5D00" w:rsidRPr="003A1787"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gramStart"/>
      <w:r w:rsidR="00DA5D00" w:rsidRPr="003A1787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фактические значения за год, предшествующий отчетному году, в 2020 году – 0,90</w:t>
      </w:r>
      <w:r>
        <w:rPr>
          <w:rFonts w:ascii="Times New Roman" w:hAnsi="Times New Roman"/>
          <w:sz w:val="24"/>
          <w:szCs w:val="28"/>
        </w:rPr>
        <w:t xml:space="preserve"> </w:t>
      </w:r>
      <w:r w:rsidRPr="004908A4">
        <w:rPr>
          <w:rFonts w:ascii="Times New Roman" w:hAnsi="Times New Roman"/>
          <w:sz w:val="24"/>
          <w:szCs w:val="28"/>
        </w:rPr>
        <w:t>%,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фактические значения за год, предшествующий на 2 года отчетному году, в 2019 году –3,37 %,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фактические значения за отчетный 2021 год – 0,90 %,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планируемые значения на 3-х летний период: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2022 году – 0,90 %,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2023 году – 0,90 %,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2024 году – 0,90 %.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CA" w:rsidRDefault="00B12FCA" w:rsidP="00B12FC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B05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муниципального управления</w:t>
      </w:r>
    </w:p>
    <w:p w:rsidR="00B12FCA" w:rsidRDefault="00B12FCA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B12FCA">
        <w:rPr>
          <w:rFonts w:ascii="Times New Roman" w:hAnsi="Times New Roman" w:cs="Times New Roman"/>
          <w:b/>
          <w:sz w:val="24"/>
          <w:szCs w:val="24"/>
        </w:rPr>
        <w:t>: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71,9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55,7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Планируемая доля налоговых и неналоговых доходов в общем объёме собственных доходов бюджета муниципального образования: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68,56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году – </w:t>
      </w:r>
      <w:r>
        <w:rPr>
          <w:rFonts w:ascii="Times New Roman" w:hAnsi="Times New Roman" w:cs="Times New Roman"/>
          <w:sz w:val="24"/>
          <w:szCs w:val="24"/>
        </w:rPr>
        <w:t>82,8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82,4</w:t>
      </w:r>
      <w:r w:rsidRPr="003A17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A5D00" w:rsidRPr="00B12FCA" w:rsidRDefault="00DA5D00" w:rsidP="003A17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4706">
        <w:rPr>
          <w:rFonts w:ascii="Times New Roman" w:hAnsi="Times New Roman"/>
          <w:b/>
          <w:sz w:val="24"/>
          <w:szCs w:val="24"/>
        </w:rPr>
        <w:t>п.32.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  <w:r w:rsidR="00B12FCA" w:rsidRPr="002D4706">
        <w:rPr>
          <w:rFonts w:ascii="Times New Roman" w:hAnsi="Times New Roman"/>
          <w:b/>
          <w:sz w:val="24"/>
          <w:szCs w:val="24"/>
        </w:rPr>
        <w:t>:</w:t>
      </w:r>
    </w:p>
    <w:p w:rsidR="00DA5D00" w:rsidRPr="00B12FCA" w:rsidRDefault="00DA5D00" w:rsidP="00B12FCA">
      <w:pPr>
        <w:pStyle w:val="ab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12FCA">
        <w:rPr>
          <w:rFonts w:ascii="Times New Roman" w:hAnsi="Times New Roman"/>
          <w:sz w:val="24"/>
          <w:szCs w:val="24"/>
        </w:rPr>
        <w:t>фактические значения за год, предшествующий отчётному году, в 20</w:t>
      </w:r>
      <w:r w:rsidR="002D4706">
        <w:rPr>
          <w:rFonts w:ascii="Times New Roman" w:hAnsi="Times New Roman"/>
          <w:sz w:val="24"/>
          <w:szCs w:val="24"/>
        </w:rPr>
        <w:t>20</w:t>
      </w:r>
      <w:r w:rsidRPr="00B12FCA">
        <w:rPr>
          <w:rFonts w:ascii="Times New Roman" w:hAnsi="Times New Roman"/>
          <w:sz w:val="24"/>
          <w:szCs w:val="24"/>
        </w:rPr>
        <w:t xml:space="preserve"> году – 0%</w:t>
      </w:r>
      <w:r w:rsidR="00B12FCA">
        <w:rPr>
          <w:rFonts w:ascii="Times New Roman" w:hAnsi="Times New Roman"/>
          <w:sz w:val="24"/>
          <w:szCs w:val="24"/>
        </w:rPr>
        <w:t>;</w:t>
      </w:r>
    </w:p>
    <w:p w:rsidR="00DA5D00" w:rsidRPr="00B12FCA" w:rsidRDefault="00DA5D00" w:rsidP="00B12FCA">
      <w:pPr>
        <w:pStyle w:val="ab"/>
        <w:numPr>
          <w:ilvl w:val="0"/>
          <w:numId w:val="4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12FCA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отчётному году, в 201</w:t>
      </w:r>
      <w:r w:rsidR="002D4706">
        <w:rPr>
          <w:rFonts w:ascii="Times New Roman" w:hAnsi="Times New Roman"/>
          <w:sz w:val="24"/>
          <w:szCs w:val="24"/>
        </w:rPr>
        <w:t>9</w:t>
      </w:r>
      <w:r w:rsidRPr="00B12FCA">
        <w:rPr>
          <w:rFonts w:ascii="Times New Roman" w:hAnsi="Times New Roman"/>
          <w:sz w:val="24"/>
          <w:szCs w:val="24"/>
        </w:rPr>
        <w:t xml:space="preserve"> году – 0%;</w:t>
      </w:r>
    </w:p>
    <w:p w:rsidR="00DA5D00" w:rsidRPr="00B12FCA" w:rsidRDefault="00DA5D00" w:rsidP="00B12F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CA">
        <w:rPr>
          <w:rFonts w:ascii="Times New Roman" w:hAnsi="Times New Roman"/>
          <w:sz w:val="24"/>
          <w:szCs w:val="24"/>
        </w:rPr>
        <w:t>фактические значения за отчётный 202</w:t>
      </w:r>
      <w:r w:rsidR="002D4706">
        <w:rPr>
          <w:rFonts w:ascii="Times New Roman" w:hAnsi="Times New Roman"/>
          <w:sz w:val="24"/>
          <w:szCs w:val="24"/>
        </w:rPr>
        <w:t>1</w:t>
      </w:r>
      <w:r w:rsidRPr="00B12FCA">
        <w:rPr>
          <w:rFonts w:ascii="Times New Roman" w:hAnsi="Times New Roman"/>
          <w:sz w:val="24"/>
          <w:szCs w:val="24"/>
        </w:rPr>
        <w:t xml:space="preserve"> год – 0%;</w:t>
      </w:r>
    </w:p>
    <w:p w:rsidR="00DA5D00" w:rsidRPr="00B12FCA" w:rsidRDefault="00DA5D00" w:rsidP="00B12FCA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CA">
        <w:rPr>
          <w:rFonts w:ascii="Times New Roman" w:hAnsi="Times New Roman"/>
          <w:sz w:val="24"/>
          <w:szCs w:val="24"/>
        </w:rPr>
        <w:t>планируемые значения на 3-летний период:</w:t>
      </w:r>
    </w:p>
    <w:p w:rsidR="00DA5D00" w:rsidRPr="003A1787" w:rsidRDefault="00DA5D00" w:rsidP="00B12FCA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2D4706">
        <w:rPr>
          <w:rFonts w:ascii="Times New Roman" w:hAnsi="Times New Roman"/>
          <w:sz w:val="24"/>
          <w:szCs w:val="24"/>
        </w:rPr>
        <w:t>2</w:t>
      </w:r>
      <w:r w:rsidRPr="003A1787">
        <w:rPr>
          <w:rFonts w:ascii="Times New Roman" w:hAnsi="Times New Roman"/>
          <w:sz w:val="24"/>
          <w:szCs w:val="24"/>
        </w:rPr>
        <w:t xml:space="preserve"> году – 0%</w:t>
      </w:r>
      <w:r w:rsidR="00B12FCA">
        <w:rPr>
          <w:rFonts w:ascii="Times New Roman" w:hAnsi="Times New Roman"/>
          <w:sz w:val="24"/>
          <w:szCs w:val="24"/>
        </w:rPr>
        <w:t>;</w:t>
      </w:r>
    </w:p>
    <w:p w:rsidR="00B12FCA" w:rsidRDefault="00DA5D00" w:rsidP="00B12FCA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2D4706">
        <w:rPr>
          <w:rFonts w:ascii="Times New Roman" w:hAnsi="Times New Roman"/>
          <w:sz w:val="24"/>
          <w:szCs w:val="24"/>
        </w:rPr>
        <w:t>3</w:t>
      </w:r>
      <w:r w:rsidRPr="003A1787">
        <w:rPr>
          <w:rFonts w:ascii="Times New Roman" w:hAnsi="Times New Roman"/>
          <w:sz w:val="24"/>
          <w:szCs w:val="24"/>
        </w:rPr>
        <w:t xml:space="preserve"> году – 0%</w:t>
      </w:r>
      <w:r w:rsidR="00B12FCA">
        <w:rPr>
          <w:rFonts w:ascii="Times New Roman" w:hAnsi="Times New Roman"/>
          <w:sz w:val="24"/>
          <w:szCs w:val="24"/>
        </w:rPr>
        <w:t>;</w:t>
      </w:r>
    </w:p>
    <w:p w:rsidR="00DA5D00" w:rsidRPr="003A1787" w:rsidRDefault="00DA5D00" w:rsidP="00B12FCA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>в 202</w:t>
      </w:r>
      <w:r w:rsidR="002D4706">
        <w:rPr>
          <w:rFonts w:ascii="Times New Roman" w:hAnsi="Times New Roman"/>
          <w:sz w:val="24"/>
          <w:szCs w:val="24"/>
        </w:rPr>
        <w:t>4</w:t>
      </w:r>
      <w:r w:rsidRPr="003A1787">
        <w:rPr>
          <w:rFonts w:ascii="Times New Roman" w:hAnsi="Times New Roman"/>
          <w:sz w:val="24"/>
          <w:szCs w:val="24"/>
        </w:rPr>
        <w:t xml:space="preserve"> году – 0%.</w:t>
      </w:r>
    </w:p>
    <w:p w:rsidR="00DA5D00" w:rsidRPr="003A1787" w:rsidRDefault="00DA5D00" w:rsidP="003A17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п.33</w:t>
      </w:r>
      <w:r w:rsidR="006F5919">
        <w:rPr>
          <w:rFonts w:ascii="Times New Roman" w:hAnsi="Times New Roman" w:cs="Times New Roman"/>
          <w:b/>
          <w:sz w:val="24"/>
          <w:szCs w:val="24"/>
        </w:rPr>
        <w:t>.</w:t>
      </w:r>
      <w:r w:rsidRPr="003A1787">
        <w:rPr>
          <w:rFonts w:ascii="Times New Roman" w:hAnsi="Times New Roman" w:cs="Times New Roman"/>
          <w:b/>
          <w:sz w:val="24"/>
          <w:szCs w:val="24"/>
        </w:rPr>
        <w:t xml:space="preserve"> Объем не завершенного в установленные сроки строительства, осуществляемого за счет средств бюджета городского округа (муниципального района):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- фактические значения за год, предшествующий отчетному году, в 2020 году – 67549,0 </w:t>
      </w:r>
      <w:proofErr w:type="spellStart"/>
      <w:r w:rsidRPr="004908A4">
        <w:rPr>
          <w:rFonts w:ascii="Times New Roman" w:hAnsi="Times New Roman"/>
          <w:sz w:val="24"/>
          <w:szCs w:val="28"/>
        </w:rPr>
        <w:t>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</w:t>
      </w:r>
      <w:proofErr w:type="spellEnd"/>
      <w:r w:rsidRPr="004908A4">
        <w:rPr>
          <w:rFonts w:ascii="Times New Roman" w:hAnsi="Times New Roman"/>
          <w:sz w:val="24"/>
          <w:szCs w:val="28"/>
        </w:rPr>
        <w:t>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lastRenderedPageBreak/>
        <w:t>- фактические значения за год, предшествующий на 2 года отчетному году, в 2019 году –67549,0 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уб.,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фактические значения за отчетный 2021 год – 67549,0 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уб.,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>- планируемые значения на 3-х летний период: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2022 году – 67549,0 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уб.,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2023 году – 67549,0 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уб.,</w:t>
      </w:r>
    </w:p>
    <w:p w:rsidR="004908A4" w:rsidRPr="004908A4" w:rsidRDefault="004908A4" w:rsidP="00490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908A4">
        <w:rPr>
          <w:rFonts w:ascii="Times New Roman" w:hAnsi="Times New Roman"/>
          <w:sz w:val="24"/>
          <w:szCs w:val="28"/>
        </w:rPr>
        <w:t xml:space="preserve">  в 2024 году – 67549,0 тыс</w:t>
      </w:r>
      <w:proofErr w:type="gramStart"/>
      <w:r w:rsidRPr="004908A4">
        <w:rPr>
          <w:rFonts w:ascii="Times New Roman" w:hAnsi="Times New Roman"/>
          <w:sz w:val="24"/>
          <w:szCs w:val="28"/>
        </w:rPr>
        <w:t>.р</w:t>
      </w:r>
      <w:proofErr w:type="gramEnd"/>
      <w:r w:rsidRPr="004908A4">
        <w:rPr>
          <w:rFonts w:ascii="Times New Roman" w:hAnsi="Times New Roman"/>
          <w:sz w:val="24"/>
          <w:szCs w:val="28"/>
        </w:rPr>
        <w:t>уб.</w:t>
      </w:r>
    </w:p>
    <w:p w:rsidR="00B12FCA" w:rsidRPr="003A1787" w:rsidRDefault="00B12FCA" w:rsidP="00B12FCA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4908A4" w:rsidRPr="003A1787" w:rsidRDefault="004908A4" w:rsidP="004908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годах отсутствует.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B12FCA">
        <w:rPr>
          <w:rFonts w:ascii="Times New Roman" w:hAnsi="Times New Roman" w:cs="Times New Roman"/>
          <w:b/>
          <w:sz w:val="24"/>
          <w:szCs w:val="24"/>
        </w:rPr>
        <w:t>:</w:t>
      </w:r>
    </w:p>
    <w:p w:rsidR="004908A4" w:rsidRPr="003A1787" w:rsidRDefault="004908A4" w:rsidP="004908A4">
      <w:pPr>
        <w:pStyle w:val="a5"/>
        <w:numPr>
          <w:ilvl w:val="0"/>
          <w:numId w:val="46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4651,05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numPr>
          <w:ilvl w:val="0"/>
          <w:numId w:val="46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4284,83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фактические значения за отчётный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4996,09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4908A4" w:rsidRPr="003A1787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5184,68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A4" w:rsidRPr="003A1787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5119,43 руб.;</w:t>
      </w:r>
    </w:p>
    <w:p w:rsidR="004908A4" w:rsidRPr="003A1787" w:rsidRDefault="004908A4" w:rsidP="004908A4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5058,86</w:t>
      </w:r>
      <w:r w:rsidRPr="003A178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5D00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86CD9" w:rsidRPr="003A1787" w:rsidRDefault="00086CD9" w:rsidP="00086CD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17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района):</w:t>
      </w:r>
    </w:p>
    <w:p w:rsidR="004F2429" w:rsidRPr="004F2429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4F2429">
        <w:rPr>
          <w:rFonts w:ascii="Times New Roman" w:hAnsi="Times New Roman"/>
          <w:i/>
          <w:sz w:val="24"/>
        </w:rPr>
        <w:t>Схема территориального планирования</w:t>
      </w:r>
    </w:p>
    <w:p w:rsidR="004F2429" w:rsidRPr="004F2429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F2429" w:rsidRPr="004F2429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F2429">
        <w:rPr>
          <w:rFonts w:ascii="Times New Roman" w:hAnsi="Times New Roman"/>
          <w:sz w:val="24"/>
          <w:lang w:eastAsia="en-US"/>
        </w:rPr>
        <w:t>Постановлением Правительства Ленинградской области от 20.09.2021 года №605 утверждена Схема территориального планирования муниципального образования Ломоносовский муниципальный район Ленинградской области</w:t>
      </w:r>
      <w:r w:rsidRPr="004F2429">
        <w:rPr>
          <w:rFonts w:ascii="Times New Roman" w:hAnsi="Times New Roman"/>
          <w:sz w:val="24"/>
        </w:rPr>
        <w:t>.</w:t>
      </w:r>
    </w:p>
    <w:p w:rsidR="004F2429" w:rsidRPr="004F2429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F2429">
        <w:rPr>
          <w:rFonts w:ascii="Times New Roman" w:hAnsi="Times New Roman"/>
          <w:sz w:val="24"/>
        </w:rPr>
        <w:t>Администрацией МО Ломоносовский муниципальный район Ленинградской области принято решение «О подготовке проекта изменений в схему территориального планирования Ломоносовского муниципального района Ленинградской области» (Постановление от 11 октября 2021 года № 1771/21). Утверждение планируется в 2023 году.</w:t>
      </w:r>
    </w:p>
    <w:p w:rsidR="008324AC" w:rsidRPr="008324AC" w:rsidRDefault="008324AC" w:rsidP="00832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AC" w:rsidRPr="00086CD9" w:rsidRDefault="008324AC" w:rsidP="00086CD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86CD9">
        <w:rPr>
          <w:rFonts w:ascii="Times New Roman" w:hAnsi="Times New Roman"/>
          <w:b/>
          <w:sz w:val="24"/>
          <w:szCs w:val="24"/>
        </w:rPr>
        <w:t>п. 37. Удовлетворенность населения деятельностью органов местного самоуправления городского округа (муниципального района)</w:t>
      </w:r>
      <w:r w:rsidR="00086CD9" w:rsidRPr="00086CD9">
        <w:rPr>
          <w:rFonts w:ascii="Times New Roman" w:hAnsi="Times New Roman"/>
          <w:b/>
          <w:sz w:val="24"/>
          <w:szCs w:val="24"/>
        </w:rPr>
        <w:t>:</w:t>
      </w:r>
    </w:p>
    <w:p w:rsidR="004F2429" w:rsidRPr="00267AAC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Ежегодно в Ленинградской области проводятся традиционные социологические опросы, в ходе которых в каждом из 17 муниципальных районов и городском округе ежегодно опрашивается не менее 400 человек. Используется стратифицированная выборка, репрезентативная генеральной совокупности по полу, возрасту, соотношению городских и сельских жителей, метод – личное интервью. Максимальная погрешность для выборки в 400 человек составляет 4,9%.</w:t>
      </w:r>
    </w:p>
    <w:p w:rsidR="004F2429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AC">
        <w:rPr>
          <w:rFonts w:ascii="Times New Roman" w:hAnsi="Times New Roman"/>
          <w:sz w:val="24"/>
          <w:szCs w:val="24"/>
        </w:rPr>
        <w:lastRenderedPageBreak/>
        <w:t xml:space="preserve">На основе данных социологических опросов определяются значения показателей: </w:t>
      </w:r>
    </w:p>
    <w:p w:rsidR="004F2429" w:rsidRDefault="004F2429" w:rsidP="004F2429">
      <w:pPr>
        <w:pStyle w:val="ab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AAB">
        <w:rPr>
          <w:rFonts w:ascii="Times New Roman" w:hAnsi="Times New Roman"/>
          <w:sz w:val="24"/>
          <w:szCs w:val="24"/>
        </w:rPr>
        <w:t xml:space="preserve">"Удовлетворенность населения организацией транспортного обслуживания в муниципальном образовании (процентов от числа опрошенных)"; </w:t>
      </w:r>
    </w:p>
    <w:p w:rsidR="004F2429" w:rsidRDefault="004F2429" w:rsidP="004F2429">
      <w:pPr>
        <w:pStyle w:val="ab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AAB">
        <w:rPr>
          <w:rFonts w:ascii="Times New Roman" w:hAnsi="Times New Roman"/>
          <w:sz w:val="24"/>
          <w:szCs w:val="24"/>
        </w:rPr>
        <w:t xml:space="preserve">"Удовлетворенность населения качеством автомобильных дорог в муниципальном образовании (процентов от числа опрошенных)"; </w:t>
      </w:r>
    </w:p>
    <w:p w:rsidR="004F2429" w:rsidRPr="004C4AAB" w:rsidRDefault="004F2429" w:rsidP="004F2429">
      <w:pPr>
        <w:pStyle w:val="ab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AAB">
        <w:rPr>
          <w:rFonts w:ascii="Times New Roman" w:hAnsi="Times New Roman"/>
          <w:sz w:val="24"/>
          <w:szCs w:val="24"/>
        </w:rPr>
        <w:t>"Удовлетворенность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опрошенных)".</w:t>
      </w:r>
    </w:p>
    <w:p w:rsidR="004F2429" w:rsidRPr="00267AAC" w:rsidRDefault="004F2429" w:rsidP="004F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Ломоносовском муниципальном районе  значения показателя следующие:</w:t>
      </w:r>
    </w:p>
    <w:p w:rsidR="004F2429" w:rsidRPr="00086CD9" w:rsidRDefault="004F2429" w:rsidP="004F2429">
      <w:pPr>
        <w:pStyle w:val="ab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6CD9">
        <w:rPr>
          <w:rFonts w:ascii="Times New Roman" w:hAnsi="Times New Roman"/>
          <w:sz w:val="24"/>
          <w:szCs w:val="24"/>
        </w:rPr>
        <w:t>фактические значения за год, предшествующий на 2 года отчетному году, в 201</w:t>
      </w:r>
      <w:r w:rsidRPr="00E05A0A">
        <w:rPr>
          <w:rFonts w:ascii="Times New Roman" w:hAnsi="Times New Roman"/>
          <w:sz w:val="24"/>
          <w:szCs w:val="24"/>
        </w:rPr>
        <w:t>9</w:t>
      </w:r>
      <w:r w:rsidRPr="00086CD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5A0A">
        <w:rPr>
          <w:rFonts w:ascii="Times New Roman" w:hAnsi="Times New Roman"/>
          <w:sz w:val="24"/>
          <w:szCs w:val="24"/>
        </w:rPr>
        <w:t>7</w:t>
      </w:r>
      <w:r w:rsidRPr="00086CD9">
        <w:rPr>
          <w:rFonts w:ascii="Times New Roman" w:hAnsi="Times New Roman"/>
          <w:sz w:val="24"/>
          <w:szCs w:val="24"/>
        </w:rPr>
        <w:t>7%;</w:t>
      </w:r>
    </w:p>
    <w:p w:rsidR="004F2429" w:rsidRPr="00086CD9" w:rsidRDefault="004F2429" w:rsidP="004F2429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D9">
        <w:rPr>
          <w:rFonts w:ascii="Times New Roman" w:hAnsi="Times New Roman"/>
          <w:sz w:val="24"/>
          <w:szCs w:val="24"/>
        </w:rPr>
        <w:t>фактические значения за год, предшествующ</w:t>
      </w:r>
      <w:r>
        <w:rPr>
          <w:rFonts w:ascii="Times New Roman" w:hAnsi="Times New Roman"/>
          <w:sz w:val="24"/>
          <w:szCs w:val="24"/>
        </w:rPr>
        <w:t>ий отчетному году, в 20</w:t>
      </w:r>
      <w:r w:rsidRPr="00E05A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- </w:t>
      </w:r>
      <w:r w:rsidRPr="00086CD9">
        <w:rPr>
          <w:rFonts w:ascii="Times New Roman" w:hAnsi="Times New Roman"/>
          <w:sz w:val="24"/>
          <w:szCs w:val="24"/>
        </w:rPr>
        <w:t>7</w:t>
      </w:r>
      <w:r w:rsidRPr="00E05A0A">
        <w:rPr>
          <w:rFonts w:ascii="Times New Roman" w:hAnsi="Times New Roman"/>
          <w:sz w:val="24"/>
          <w:szCs w:val="24"/>
        </w:rPr>
        <w:t>9</w:t>
      </w:r>
      <w:r w:rsidRPr="00086CD9">
        <w:rPr>
          <w:rFonts w:ascii="Times New Roman" w:hAnsi="Times New Roman"/>
          <w:sz w:val="24"/>
          <w:szCs w:val="24"/>
        </w:rPr>
        <w:t>%;</w:t>
      </w:r>
    </w:p>
    <w:p w:rsidR="004F2429" w:rsidRPr="00267AAC" w:rsidRDefault="004F2429" w:rsidP="004F2429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D9">
        <w:rPr>
          <w:rFonts w:ascii="Times New Roman" w:hAnsi="Times New Roman"/>
          <w:sz w:val="24"/>
          <w:szCs w:val="24"/>
        </w:rPr>
        <w:t xml:space="preserve">фактическое </w:t>
      </w:r>
      <w:r>
        <w:rPr>
          <w:rFonts w:ascii="Times New Roman" w:hAnsi="Times New Roman"/>
          <w:sz w:val="24"/>
          <w:szCs w:val="24"/>
        </w:rPr>
        <w:t>значение за отчетный 202</w:t>
      </w:r>
      <w:r w:rsidRPr="00E05A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086CD9">
        <w:rPr>
          <w:rFonts w:ascii="Times New Roman" w:hAnsi="Times New Roman"/>
          <w:sz w:val="24"/>
          <w:szCs w:val="24"/>
        </w:rPr>
        <w:t>7</w:t>
      </w:r>
      <w:r w:rsidRPr="00267AAC">
        <w:rPr>
          <w:rFonts w:ascii="Times New Roman" w:hAnsi="Times New Roman"/>
          <w:sz w:val="24"/>
          <w:szCs w:val="24"/>
        </w:rPr>
        <w:t>7</w:t>
      </w:r>
      <w:r w:rsidRPr="00086CD9">
        <w:rPr>
          <w:rFonts w:ascii="Times New Roman" w:hAnsi="Times New Roman"/>
          <w:sz w:val="24"/>
          <w:szCs w:val="24"/>
        </w:rPr>
        <w:t>%.</w:t>
      </w:r>
    </w:p>
    <w:p w:rsidR="008324AC" w:rsidRPr="003A1787" w:rsidRDefault="008324AC" w:rsidP="003A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п.38 Среднегодовая численность постоянного населения</w:t>
      </w:r>
      <w:r w:rsidR="00086CD9">
        <w:rPr>
          <w:rFonts w:ascii="Times New Roman" w:hAnsi="Times New Roman" w:cs="Times New Roman"/>
          <w:b/>
          <w:sz w:val="24"/>
          <w:szCs w:val="24"/>
        </w:rPr>
        <w:t>: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- фактические значения за год, предшествующий отчётному 2021 году, в 2020 году – 77,6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>ел.,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- фактические значения за год, предшествующий на 2 года отчётному 2021 году, в 2019 году – 75,1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>ел.,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- фактические значения за отчётный 2021 год – 80,1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>ел.,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 xml:space="preserve">- планируемые значения на трёхлетний период: 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2022 год – 82,3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 xml:space="preserve">ел., 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2023 год – 84,3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 xml:space="preserve">ел., </w:t>
      </w:r>
    </w:p>
    <w:p w:rsidR="004F2429" w:rsidRPr="004F2429" w:rsidRDefault="004F2429" w:rsidP="004F2429">
      <w:pPr>
        <w:pStyle w:val="a5"/>
        <w:ind w:firstLine="567"/>
        <w:rPr>
          <w:rFonts w:ascii="Times New Roman" w:eastAsia="Calibri" w:hAnsi="Times New Roman" w:cs="Times New Roman"/>
          <w:sz w:val="24"/>
        </w:rPr>
      </w:pPr>
      <w:r w:rsidRPr="004F2429">
        <w:rPr>
          <w:rFonts w:ascii="Times New Roman" w:eastAsia="Calibri" w:hAnsi="Times New Roman" w:cs="Times New Roman"/>
          <w:sz w:val="24"/>
        </w:rPr>
        <w:t>2024 год – 86,5 тыс</w:t>
      </w:r>
      <w:proofErr w:type="gramStart"/>
      <w:r w:rsidRPr="004F2429">
        <w:rPr>
          <w:rFonts w:ascii="Times New Roman" w:eastAsia="Calibri" w:hAnsi="Times New Roman" w:cs="Times New Roman"/>
          <w:sz w:val="24"/>
        </w:rPr>
        <w:t>.ч</w:t>
      </w:r>
      <w:proofErr w:type="gramEnd"/>
      <w:r w:rsidRPr="004F2429">
        <w:rPr>
          <w:rFonts w:ascii="Times New Roman" w:eastAsia="Calibri" w:hAnsi="Times New Roman" w:cs="Times New Roman"/>
          <w:sz w:val="24"/>
        </w:rPr>
        <w:t>ел.</w:t>
      </w:r>
    </w:p>
    <w:p w:rsidR="004F2429" w:rsidRPr="004F2429" w:rsidRDefault="004F2429" w:rsidP="004F24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429">
        <w:rPr>
          <w:rFonts w:ascii="Times New Roman" w:hAnsi="Times New Roman"/>
          <w:sz w:val="24"/>
        </w:rPr>
        <w:t>В Ломоносовском районе на протяжении последних лет отмечаются высокие темпы жилищного строительства,  в 2021 году введено жилья 585,26 тыс.кв</w:t>
      </w:r>
      <w:proofErr w:type="gramStart"/>
      <w:r w:rsidRPr="004F2429">
        <w:rPr>
          <w:rFonts w:ascii="Times New Roman" w:hAnsi="Times New Roman"/>
          <w:sz w:val="24"/>
        </w:rPr>
        <w:t>.м</w:t>
      </w:r>
      <w:proofErr w:type="gramEnd"/>
      <w:r w:rsidRPr="004F2429">
        <w:rPr>
          <w:rFonts w:ascii="Times New Roman" w:hAnsi="Times New Roman"/>
          <w:sz w:val="24"/>
        </w:rPr>
        <w:t>, в том числе ИЖС 398, 48 тыс.кв.м.</w:t>
      </w:r>
      <w:r w:rsidRPr="004F2429">
        <w:rPr>
          <w:rFonts w:ascii="Times New Roman" w:hAnsi="Times New Roman"/>
          <w:sz w:val="24"/>
          <w:szCs w:val="24"/>
        </w:rPr>
        <w:t xml:space="preserve"> </w:t>
      </w:r>
    </w:p>
    <w:p w:rsidR="004F2429" w:rsidRPr="004F2429" w:rsidRDefault="004F2429" w:rsidP="004F24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429">
        <w:rPr>
          <w:rFonts w:ascii="Times New Roman" w:hAnsi="Times New Roman"/>
          <w:sz w:val="24"/>
          <w:szCs w:val="24"/>
        </w:rPr>
        <w:t>В % к предыдущему году: 142,5% ввод кв</w:t>
      </w:r>
      <w:proofErr w:type="gramStart"/>
      <w:r w:rsidRPr="004F2429">
        <w:rPr>
          <w:rFonts w:ascii="Times New Roman" w:hAnsi="Times New Roman"/>
          <w:sz w:val="24"/>
          <w:szCs w:val="24"/>
        </w:rPr>
        <w:t>.м</w:t>
      </w:r>
      <w:proofErr w:type="gramEnd"/>
      <w:r w:rsidRPr="004F2429">
        <w:rPr>
          <w:rFonts w:ascii="Times New Roman" w:hAnsi="Times New Roman"/>
          <w:sz w:val="24"/>
          <w:szCs w:val="24"/>
        </w:rPr>
        <w:t xml:space="preserve"> жилья.</w:t>
      </w:r>
    </w:p>
    <w:p w:rsidR="004F2429" w:rsidRPr="004F2429" w:rsidRDefault="004F2429" w:rsidP="004F24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F2429">
        <w:rPr>
          <w:rFonts w:ascii="Times New Roman" w:hAnsi="Times New Roman"/>
          <w:sz w:val="24"/>
          <w:szCs w:val="24"/>
        </w:rPr>
        <w:t>Доля района по площади ввода жилья за 2021 год в удельном весе в целом по Ленобласти -17,3% , доля ввода ИЖС – 17,4%.</w:t>
      </w:r>
      <w:r w:rsidRPr="004F2429">
        <w:rPr>
          <w:rFonts w:ascii="Times New Roman" w:hAnsi="Times New Roman"/>
        </w:rPr>
        <w:t xml:space="preserve"> </w:t>
      </w:r>
    </w:p>
    <w:p w:rsidR="004F2429" w:rsidRPr="004F2429" w:rsidRDefault="004F2429" w:rsidP="004F242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2429">
        <w:rPr>
          <w:rFonts w:ascii="Times New Roman" w:hAnsi="Times New Roman"/>
          <w:sz w:val="24"/>
        </w:rPr>
        <w:t xml:space="preserve">Несмотря на большое количество введённого </w:t>
      </w:r>
      <w:proofErr w:type="gramStart"/>
      <w:r w:rsidRPr="004F2429">
        <w:rPr>
          <w:rFonts w:ascii="Times New Roman" w:hAnsi="Times New Roman"/>
          <w:sz w:val="24"/>
        </w:rPr>
        <w:t>жилья</w:t>
      </w:r>
      <w:proofErr w:type="gramEnd"/>
      <w:r w:rsidRPr="004F2429">
        <w:rPr>
          <w:rFonts w:ascii="Times New Roman" w:hAnsi="Times New Roman"/>
          <w:sz w:val="24"/>
        </w:rPr>
        <w:t xml:space="preserve"> официальная численность постоянного населения растёт медленно, т.к. в новостройках </w:t>
      </w:r>
      <w:proofErr w:type="spellStart"/>
      <w:r w:rsidRPr="004F2429">
        <w:rPr>
          <w:rFonts w:ascii="Times New Roman" w:hAnsi="Times New Roman"/>
          <w:sz w:val="24"/>
        </w:rPr>
        <w:t>Виллозского</w:t>
      </w:r>
      <w:proofErr w:type="spellEnd"/>
      <w:r w:rsidRPr="004F2429">
        <w:rPr>
          <w:rFonts w:ascii="Times New Roman" w:hAnsi="Times New Roman"/>
          <w:sz w:val="24"/>
        </w:rPr>
        <w:t xml:space="preserve"> и Аннинского поселений не все собственники регистрируются в Ломоносовском районе. Темпы роста строительства многоквартирных домов продолжатся в соответствии с утвержденными Генеральными планами поселений Ломоносовского района. </w:t>
      </w:r>
    </w:p>
    <w:p w:rsidR="00DA5D00" w:rsidRPr="003A1787" w:rsidRDefault="00DA5D00" w:rsidP="003A1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D00" w:rsidRDefault="00086CD9" w:rsidP="00086CD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5D00" w:rsidRPr="003A1787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086CD9" w:rsidRPr="003A1787" w:rsidRDefault="00086CD9" w:rsidP="003A1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п.39. «Удельная величина потребления энергетических ресурсов в многоквартирных домах: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электрическая энергия (кВт/</w:t>
      </w:r>
      <w:proofErr w:type="gramStart"/>
      <w:r w:rsidRPr="00C94F0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C94F06">
        <w:rPr>
          <w:rFonts w:ascii="Times New Roman" w:hAnsi="Times New Roman" w:cs="Times New Roman"/>
          <w:b/>
          <w:sz w:val="24"/>
          <w:szCs w:val="24"/>
        </w:rPr>
        <w:t xml:space="preserve"> на 1 проживающего):</w:t>
      </w:r>
    </w:p>
    <w:p w:rsidR="00C94F06" w:rsidRPr="00C94F06" w:rsidRDefault="00C94F06" w:rsidP="00C94F06">
      <w:pPr>
        <w:pStyle w:val="a5"/>
        <w:numPr>
          <w:ilvl w:val="0"/>
          <w:numId w:val="4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794,3;</w:t>
      </w:r>
    </w:p>
    <w:p w:rsidR="00C94F06" w:rsidRPr="00C94F06" w:rsidRDefault="00C94F06" w:rsidP="00C94F06">
      <w:pPr>
        <w:pStyle w:val="a5"/>
        <w:numPr>
          <w:ilvl w:val="0"/>
          <w:numId w:val="4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794,5;</w:t>
      </w:r>
    </w:p>
    <w:p w:rsidR="00C94F06" w:rsidRPr="00C94F06" w:rsidRDefault="00C94F06" w:rsidP="00C94F06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909,5;</w:t>
      </w:r>
    </w:p>
    <w:p w:rsidR="00C94F06" w:rsidRPr="00C94F06" w:rsidRDefault="00C94F06" w:rsidP="00C94F06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–909,5;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909,5;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909,5.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тепловая энергия (Гкал на 1 кв. метр общей площади):</w:t>
      </w:r>
    </w:p>
    <w:p w:rsidR="00C94F06" w:rsidRPr="00C94F06" w:rsidRDefault="00C94F06" w:rsidP="00C94F06">
      <w:pPr>
        <w:pStyle w:val="a5"/>
        <w:numPr>
          <w:ilvl w:val="0"/>
          <w:numId w:val="50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lastRenderedPageBreak/>
        <w:t>фактические значения за год, предшествующий отчётному году, в 2020 году – 0,11;</w:t>
      </w:r>
    </w:p>
    <w:p w:rsidR="00C94F06" w:rsidRPr="00C94F06" w:rsidRDefault="00C94F06" w:rsidP="00C94F06">
      <w:pPr>
        <w:pStyle w:val="a5"/>
        <w:numPr>
          <w:ilvl w:val="0"/>
          <w:numId w:val="5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0,11;</w:t>
      </w:r>
    </w:p>
    <w:p w:rsidR="00C94F06" w:rsidRPr="00C94F06" w:rsidRDefault="00C94F06" w:rsidP="00C94F06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0,1;</w:t>
      </w:r>
    </w:p>
    <w:p w:rsidR="00C94F06" w:rsidRPr="00C94F06" w:rsidRDefault="00C94F06" w:rsidP="00C94F06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0,1;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0,1;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0,1.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 xml:space="preserve">горячая вода (куб. метров на 1 </w:t>
      </w:r>
      <w:proofErr w:type="gramStart"/>
      <w:r w:rsidRPr="00C94F06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C94F06">
        <w:rPr>
          <w:rFonts w:ascii="Times New Roman" w:hAnsi="Times New Roman" w:cs="Times New Roman"/>
          <w:b/>
          <w:sz w:val="24"/>
          <w:szCs w:val="24"/>
        </w:rPr>
        <w:t>):</w:t>
      </w:r>
    </w:p>
    <w:p w:rsidR="00C94F06" w:rsidRPr="00C94F06" w:rsidRDefault="00C94F06" w:rsidP="00C94F06">
      <w:pPr>
        <w:pStyle w:val="a5"/>
        <w:numPr>
          <w:ilvl w:val="0"/>
          <w:numId w:val="51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13,28;</w:t>
      </w:r>
    </w:p>
    <w:p w:rsidR="00C94F06" w:rsidRPr="00C94F06" w:rsidRDefault="00C94F06" w:rsidP="00C94F06">
      <w:pPr>
        <w:pStyle w:val="a5"/>
        <w:numPr>
          <w:ilvl w:val="0"/>
          <w:numId w:val="5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14,55;</w:t>
      </w:r>
    </w:p>
    <w:p w:rsidR="00C94F06" w:rsidRPr="00C94F06" w:rsidRDefault="00C94F06" w:rsidP="00C94F06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11,28;</w:t>
      </w:r>
    </w:p>
    <w:p w:rsidR="00C94F06" w:rsidRPr="00C94F06" w:rsidRDefault="00C94F06" w:rsidP="00C94F06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11,28;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11,28;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11,28.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 xml:space="preserve">холодная вода (куб. метров на 1 </w:t>
      </w:r>
      <w:proofErr w:type="gramStart"/>
      <w:r w:rsidRPr="00C94F06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C94F06">
        <w:rPr>
          <w:rFonts w:ascii="Times New Roman" w:hAnsi="Times New Roman" w:cs="Times New Roman"/>
          <w:b/>
          <w:sz w:val="24"/>
          <w:szCs w:val="24"/>
        </w:rPr>
        <w:t>):</w:t>
      </w:r>
    </w:p>
    <w:p w:rsidR="00C94F06" w:rsidRPr="00C94F06" w:rsidRDefault="00C94F06" w:rsidP="00C94F06">
      <w:pPr>
        <w:pStyle w:val="a5"/>
        <w:numPr>
          <w:ilvl w:val="0"/>
          <w:numId w:val="52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23,68;</w:t>
      </w:r>
    </w:p>
    <w:p w:rsidR="00C94F06" w:rsidRPr="00C94F06" w:rsidRDefault="00C94F06" w:rsidP="00C94F06">
      <w:pPr>
        <w:pStyle w:val="a5"/>
        <w:numPr>
          <w:ilvl w:val="0"/>
          <w:numId w:val="5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35,86;</w:t>
      </w:r>
    </w:p>
    <w:p w:rsidR="00C94F06" w:rsidRPr="00C94F06" w:rsidRDefault="00C94F06" w:rsidP="00C94F06">
      <w:pPr>
        <w:pStyle w:val="a5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33,54;</w:t>
      </w:r>
    </w:p>
    <w:p w:rsidR="00C94F06" w:rsidRPr="00C94F06" w:rsidRDefault="00C94F06" w:rsidP="00C94F06">
      <w:pPr>
        <w:pStyle w:val="a5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33,54;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33,54;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33,54.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 xml:space="preserve">природный газ (куб. метров на 1 </w:t>
      </w:r>
      <w:proofErr w:type="gramStart"/>
      <w:r w:rsidRPr="00C94F06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C94F06">
        <w:rPr>
          <w:rFonts w:ascii="Times New Roman" w:hAnsi="Times New Roman" w:cs="Times New Roman"/>
          <w:b/>
          <w:sz w:val="24"/>
          <w:szCs w:val="24"/>
        </w:rPr>
        <w:t>):</w:t>
      </w:r>
    </w:p>
    <w:p w:rsidR="00C94F06" w:rsidRPr="00C94F06" w:rsidRDefault="00C94F06" w:rsidP="00C94F06">
      <w:pPr>
        <w:pStyle w:val="a5"/>
        <w:numPr>
          <w:ilvl w:val="0"/>
          <w:numId w:val="53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60,85;</w:t>
      </w:r>
    </w:p>
    <w:p w:rsidR="00C94F06" w:rsidRPr="00C94F06" w:rsidRDefault="00C94F06" w:rsidP="00C94F06">
      <w:pPr>
        <w:pStyle w:val="a5"/>
        <w:numPr>
          <w:ilvl w:val="0"/>
          <w:numId w:val="5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43,3;</w:t>
      </w:r>
    </w:p>
    <w:p w:rsidR="00C94F06" w:rsidRPr="00C94F06" w:rsidRDefault="00C94F06" w:rsidP="00C94F06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95,24;</w:t>
      </w:r>
    </w:p>
    <w:p w:rsidR="00C94F06" w:rsidRPr="00C94F06" w:rsidRDefault="00C94F06" w:rsidP="00C94F06">
      <w:pPr>
        <w:pStyle w:val="a5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95,24;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95,24;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95,24.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Увеличение показателей по электрической энергии, холодной воде и газу связано со следующим. При расчете показателей объем потребления ресурса делится на количество жителей, проживающих в многоквартирных домах. Во вновь вводимых домах количество зарегистрированных граждан меньше фактически проживающих, в связи с этим показатели увеличиваются. Фактическое количество проживающих граждан установить не возможно.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п.40. «Удельная величина потребления энергетических ресурсов муниципальными бюджетными учреждениями»: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электрическая энергия (кВт/</w:t>
      </w:r>
      <w:proofErr w:type="gramStart"/>
      <w:r w:rsidRPr="00C94F0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C94F06">
        <w:rPr>
          <w:rFonts w:ascii="Times New Roman" w:hAnsi="Times New Roman" w:cs="Times New Roman"/>
          <w:b/>
          <w:sz w:val="24"/>
          <w:szCs w:val="24"/>
        </w:rPr>
        <w:t xml:space="preserve"> на 1 человека нас.):</w:t>
      </w:r>
    </w:p>
    <w:p w:rsidR="00C94F06" w:rsidRPr="00C94F06" w:rsidRDefault="00C94F06" w:rsidP="00C94F06">
      <w:pPr>
        <w:pStyle w:val="a5"/>
        <w:numPr>
          <w:ilvl w:val="0"/>
          <w:numId w:val="54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28,89;</w:t>
      </w:r>
    </w:p>
    <w:p w:rsidR="00C94F06" w:rsidRPr="00C94F06" w:rsidRDefault="00C94F06" w:rsidP="00C94F06">
      <w:pPr>
        <w:pStyle w:val="a5"/>
        <w:numPr>
          <w:ilvl w:val="0"/>
          <w:numId w:val="5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lastRenderedPageBreak/>
        <w:t>фактические значения за год, предшествующий на 2 года отчётному году, в 2019 году – 36,14;</w:t>
      </w:r>
    </w:p>
    <w:p w:rsidR="00C94F06" w:rsidRPr="00C94F06" w:rsidRDefault="00C94F06" w:rsidP="00C94F06">
      <w:pPr>
        <w:pStyle w:val="a5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34,19;</w:t>
      </w:r>
    </w:p>
    <w:p w:rsidR="00C94F06" w:rsidRPr="00C94F06" w:rsidRDefault="00C94F06" w:rsidP="00C94F06">
      <w:pPr>
        <w:pStyle w:val="a5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34,19;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34,19;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34,19.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тепловая энергия (Гкал на 1 кв. метр общей площади):</w:t>
      </w:r>
    </w:p>
    <w:p w:rsidR="00C94F06" w:rsidRPr="00C94F06" w:rsidRDefault="00C94F06" w:rsidP="00C94F06">
      <w:pPr>
        <w:pStyle w:val="a5"/>
        <w:numPr>
          <w:ilvl w:val="0"/>
          <w:numId w:val="55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0,17;</w:t>
      </w:r>
    </w:p>
    <w:p w:rsidR="00C94F06" w:rsidRPr="00C94F06" w:rsidRDefault="00C94F06" w:rsidP="00C94F06">
      <w:pPr>
        <w:pStyle w:val="a5"/>
        <w:numPr>
          <w:ilvl w:val="0"/>
          <w:numId w:val="55"/>
        </w:numPr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0,21;</w:t>
      </w:r>
    </w:p>
    <w:p w:rsidR="00C94F06" w:rsidRPr="00C94F06" w:rsidRDefault="00C94F06" w:rsidP="00C94F06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0,19;</w:t>
      </w:r>
    </w:p>
    <w:p w:rsidR="00C94F06" w:rsidRPr="00C94F06" w:rsidRDefault="00C94F06" w:rsidP="00C94F06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0,19;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0,19;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0,19.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горячая вода (куб. метров на 1 человека населения):</w:t>
      </w:r>
    </w:p>
    <w:p w:rsidR="00C94F06" w:rsidRPr="00C94F06" w:rsidRDefault="00C94F06" w:rsidP="00C94F06">
      <w:pPr>
        <w:pStyle w:val="a5"/>
        <w:numPr>
          <w:ilvl w:val="0"/>
          <w:numId w:val="56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0,31;</w:t>
      </w:r>
    </w:p>
    <w:p w:rsidR="00C94F06" w:rsidRPr="00C94F06" w:rsidRDefault="00C94F06" w:rsidP="00C94F06">
      <w:pPr>
        <w:pStyle w:val="a5"/>
        <w:numPr>
          <w:ilvl w:val="0"/>
          <w:numId w:val="56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0,34;</w:t>
      </w:r>
    </w:p>
    <w:p w:rsidR="00C94F06" w:rsidRPr="00C94F06" w:rsidRDefault="00C94F06" w:rsidP="00C94F06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0,31;</w:t>
      </w:r>
    </w:p>
    <w:p w:rsidR="00C94F06" w:rsidRPr="00C94F06" w:rsidRDefault="00C94F06" w:rsidP="00C94F06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0,31;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0,31;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0,31.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холодная вода (куб. метров на 1 человека населения):</w:t>
      </w:r>
    </w:p>
    <w:p w:rsidR="00C94F06" w:rsidRPr="00C94F06" w:rsidRDefault="00C94F06" w:rsidP="00C94F06">
      <w:pPr>
        <w:pStyle w:val="a5"/>
        <w:numPr>
          <w:ilvl w:val="0"/>
          <w:numId w:val="57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0,7;</w:t>
      </w:r>
    </w:p>
    <w:p w:rsidR="00C94F06" w:rsidRPr="00C94F06" w:rsidRDefault="00C94F06" w:rsidP="00C94F06">
      <w:pPr>
        <w:pStyle w:val="a5"/>
        <w:numPr>
          <w:ilvl w:val="0"/>
          <w:numId w:val="5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0,82;</w:t>
      </w:r>
    </w:p>
    <w:p w:rsidR="00C94F06" w:rsidRPr="00C94F06" w:rsidRDefault="00C94F06" w:rsidP="00C94F06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0,85;</w:t>
      </w:r>
    </w:p>
    <w:p w:rsidR="00C94F06" w:rsidRPr="00C94F06" w:rsidRDefault="00C94F06" w:rsidP="00C94F06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0,85;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0,85;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0,85.</w:t>
      </w:r>
    </w:p>
    <w:p w:rsidR="00C94F06" w:rsidRPr="00C94F06" w:rsidRDefault="00C94F06" w:rsidP="00C94F0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b/>
          <w:sz w:val="24"/>
          <w:szCs w:val="24"/>
        </w:rPr>
        <w:t>природный газ (куб. метров на 1 человека населения):</w:t>
      </w:r>
    </w:p>
    <w:p w:rsidR="00C94F06" w:rsidRPr="00C94F06" w:rsidRDefault="00C94F06" w:rsidP="00C94F06">
      <w:pPr>
        <w:pStyle w:val="a5"/>
        <w:numPr>
          <w:ilvl w:val="0"/>
          <w:numId w:val="58"/>
        </w:numPr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отчётному году, в 2020 году – 0;</w:t>
      </w:r>
    </w:p>
    <w:p w:rsidR="00C94F06" w:rsidRPr="00C94F06" w:rsidRDefault="00C94F06" w:rsidP="00C94F06">
      <w:pPr>
        <w:pStyle w:val="a5"/>
        <w:numPr>
          <w:ilvl w:val="0"/>
          <w:numId w:val="58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год, предшествующий на 2 года отчётному году, в 2019 году – 0;</w:t>
      </w:r>
    </w:p>
    <w:p w:rsidR="00C94F06" w:rsidRPr="00C94F06" w:rsidRDefault="00C94F06" w:rsidP="00C94F06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фактические значения за отчётный 2021 год – 0,82;</w:t>
      </w:r>
    </w:p>
    <w:p w:rsidR="00C94F06" w:rsidRPr="00C94F06" w:rsidRDefault="00C94F06" w:rsidP="00C94F06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планируемые значения на 3-х летний период: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2022 году – 0;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2023 году – 0;</w:t>
      </w:r>
    </w:p>
    <w:p w:rsidR="00C94F06" w:rsidRPr="00C94F06" w:rsidRDefault="00C94F06" w:rsidP="00C94F06">
      <w:pPr>
        <w:pStyle w:val="a5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06">
        <w:rPr>
          <w:rFonts w:ascii="Times New Roman" w:hAnsi="Times New Roman" w:cs="Times New Roman"/>
          <w:sz w:val="24"/>
          <w:szCs w:val="24"/>
        </w:rPr>
        <w:t>в 2024 году – 0.</w:t>
      </w:r>
    </w:p>
    <w:p w:rsidR="00C94F06" w:rsidRPr="00C94F06" w:rsidRDefault="00C94F06" w:rsidP="00C94F06">
      <w:pPr>
        <w:spacing w:after="0" w:line="240" w:lineRule="auto"/>
        <w:ind w:right="-10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4F06">
        <w:rPr>
          <w:rFonts w:ascii="Times New Roman" w:hAnsi="Times New Roman"/>
          <w:sz w:val="24"/>
          <w:szCs w:val="24"/>
        </w:rPr>
        <w:t xml:space="preserve">- </w:t>
      </w:r>
      <w:r w:rsidRPr="00C94F06">
        <w:rPr>
          <w:rFonts w:ascii="Times New Roman" w:hAnsi="Times New Roman"/>
          <w:color w:val="000000"/>
          <w:sz w:val="24"/>
          <w:szCs w:val="24"/>
        </w:rPr>
        <w:t>увеличение муниципальными учреждениями удельного расхода электрической энергии, холодной и горячей воды в 2021 году по сравнению с 2020 годом связано с тем, что в 2020 году из-за пандемии в школах было организовано дистанционное обучение, в детских садах работали дежурные группы, а учреждения дополнительного образования не работали.</w:t>
      </w:r>
    </w:p>
    <w:p w:rsidR="00C94F06" w:rsidRDefault="00C94F06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4F06">
        <w:rPr>
          <w:rFonts w:ascii="Times New Roman" w:hAnsi="Times New Roman"/>
          <w:color w:val="000000"/>
          <w:sz w:val="24"/>
          <w:szCs w:val="24"/>
        </w:rPr>
        <w:lastRenderedPageBreak/>
        <w:t>- увеличение муниципальными учреждениями удельного расхода  тепловой энергии в 2021 году связано с тем, что температура наружного воздуха  в отопительный период 2021 года была ниже, чем в 2020 году и потребление теплой энергии увеличилось.</w:t>
      </w: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п.41</w:t>
      </w:r>
      <w:r w:rsidRPr="006A1271">
        <w:t xml:space="preserve"> </w:t>
      </w:r>
      <w:r w:rsidRPr="006A1271">
        <w:rPr>
          <w:rFonts w:ascii="Times New Roman" w:hAnsi="Times New Roman"/>
          <w:b/>
          <w:color w:val="000000"/>
          <w:sz w:val="24"/>
          <w:szCs w:val="24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  <w:proofErr w:type="gramEnd"/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в сфере культуры:</w:t>
      </w: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271"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–0</w:t>
      </w: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100</w:t>
      </w: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2023 год – 100</w:t>
      </w:r>
    </w:p>
    <w:p w:rsidR="006A1271" w:rsidRPr="006A1271" w:rsidRDefault="006A1271" w:rsidP="006A127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100</w:t>
      </w: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сфере образования:</w:t>
      </w:r>
    </w:p>
    <w:p w:rsidR="006A1271" w:rsidRDefault="006A1271" w:rsidP="006A127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271"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86</w:t>
      </w:r>
    </w:p>
    <w:p w:rsidR="006A1271" w:rsidRDefault="006A1271" w:rsidP="006A127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87</w:t>
      </w:r>
    </w:p>
    <w:p w:rsidR="006A1271" w:rsidRDefault="006A1271" w:rsidP="006A127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2023 год – 87</w:t>
      </w:r>
    </w:p>
    <w:p w:rsidR="006A1271" w:rsidRPr="006A1271" w:rsidRDefault="006A1271" w:rsidP="00C94F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87</w:t>
      </w:r>
    </w:p>
    <w:p w:rsidR="00DA5D00" w:rsidRDefault="00DA5D00" w:rsidP="00C94F06">
      <w:pPr>
        <w:pStyle w:val="a5"/>
        <w:ind w:firstLine="709"/>
        <w:jc w:val="both"/>
        <w:rPr>
          <w:sz w:val="24"/>
          <w:szCs w:val="24"/>
        </w:rPr>
      </w:pPr>
    </w:p>
    <w:p w:rsidR="006A1271" w:rsidRDefault="006A1271" w:rsidP="00C94F06">
      <w:pPr>
        <w:pStyle w:val="a5"/>
        <w:ind w:firstLine="709"/>
        <w:jc w:val="both"/>
        <w:rPr>
          <w:sz w:val="24"/>
          <w:szCs w:val="24"/>
        </w:rPr>
      </w:pPr>
    </w:p>
    <w:sectPr w:rsidR="006A1271" w:rsidSect="0011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1C"/>
    <w:multiLevelType w:val="hybridMultilevel"/>
    <w:tmpl w:val="55E4836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66014"/>
    <w:multiLevelType w:val="hybridMultilevel"/>
    <w:tmpl w:val="C332F31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E75F2"/>
    <w:multiLevelType w:val="hybridMultilevel"/>
    <w:tmpl w:val="F54632C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D5E02"/>
    <w:multiLevelType w:val="hybridMultilevel"/>
    <w:tmpl w:val="90ACA80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15CDC"/>
    <w:multiLevelType w:val="hybridMultilevel"/>
    <w:tmpl w:val="68B2F16E"/>
    <w:lvl w:ilvl="0" w:tplc="BC4073EA">
      <w:start w:val="5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54D86"/>
    <w:multiLevelType w:val="hybridMultilevel"/>
    <w:tmpl w:val="BCEC206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8B7B9C"/>
    <w:multiLevelType w:val="hybridMultilevel"/>
    <w:tmpl w:val="CF7EA24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9A4586"/>
    <w:multiLevelType w:val="hybridMultilevel"/>
    <w:tmpl w:val="4ABC643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6A115A"/>
    <w:multiLevelType w:val="hybridMultilevel"/>
    <w:tmpl w:val="D684188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5B5DCF"/>
    <w:multiLevelType w:val="hybridMultilevel"/>
    <w:tmpl w:val="F2985ED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4B544E"/>
    <w:multiLevelType w:val="hybridMultilevel"/>
    <w:tmpl w:val="723CDEC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525E2A"/>
    <w:multiLevelType w:val="hybridMultilevel"/>
    <w:tmpl w:val="77C0634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5443C7"/>
    <w:multiLevelType w:val="hybridMultilevel"/>
    <w:tmpl w:val="911C7F10"/>
    <w:lvl w:ilvl="0" w:tplc="BC4073E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32499"/>
    <w:multiLevelType w:val="hybridMultilevel"/>
    <w:tmpl w:val="627492D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3D7C46"/>
    <w:multiLevelType w:val="hybridMultilevel"/>
    <w:tmpl w:val="AF4EF66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E1665A"/>
    <w:multiLevelType w:val="hybridMultilevel"/>
    <w:tmpl w:val="AFE460E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110578"/>
    <w:multiLevelType w:val="hybridMultilevel"/>
    <w:tmpl w:val="B168815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EB09F4"/>
    <w:multiLevelType w:val="hybridMultilevel"/>
    <w:tmpl w:val="5C3CC4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9B41DD"/>
    <w:multiLevelType w:val="hybridMultilevel"/>
    <w:tmpl w:val="4E90684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0F508DC"/>
    <w:multiLevelType w:val="hybridMultilevel"/>
    <w:tmpl w:val="9F32CB2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5A5BA9"/>
    <w:multiLevelType w:val="hybridMultilevel"/>
    <w:tmpl w:val="53E03F38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9E77B3"/>
    <w:multiLevelType w:val="hybridMultilevel"/>
    <w:tmpl w:val="E3CE023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A76613"/>
    <w:multiLevelType w:val="hybridMultilevel"/>
    <w:tmpl w:val="34560E4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9F0AA8"/>
    <w:multiLevelType w:val="hybridMultilevel"/>
    <w:tmpl w:val="1B5874C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E76D26"/>
    <w:multiLevelType w:val="hybridMultilevel"/>
    <w:tmpl w:val="91EC7CC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8F873FF"/>
    <w:multiLevelType w:val="hybridMultilevel"/>
    <w:tmpl w:val="A866FEE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8FE5826"/>
    <w:multiLevelType w:val="hybridMultilevel"/>
    <w:tmpl w:val="01FA0F3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902685D"/>
    <w:multiLevelType w:val="hybridMultilevel"/>
    <w:tmpl w:val="1CE6FBD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96E1480"/>
    <w:multiLevelType w:val="hybridMultilevel"/>
    <w:tmpl w:val="6ECCE1E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0A72203"/>
    <w:multiLevelType w:val="hybridMultilevel"/>
    <w:tmpl w:val="8AB828D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4B3C25"/>
    <w:multiLevelType w:val="hybridMultilevel"/>
    <w:tmpl w:val="3618913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4A3AA3"/>
    <w:multiLevelType w:val="hybridMultilevel"/>
    <w:tmpl w:val="85908BA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671331"/>
    <w:multiLevelType w:val="hybridMultilevel"/>
    <w:tmpl w:val="B1DA70A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9227B3"/>
    <w:multiLevelType w:val="hybridMultilevel"/>
    <w:tmpl w:val="52CEF938"/>
    <w:lvl w:ilvl="0" w:tplc="7446FF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37E61F22"/>
    <w:multiLevelType w:val="hybridMultilevel"/>
    <w:tmpl w:val="971C7D0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730728"/>
    <w:multiLevelType w:val="hybridMultilevel"/>
    <w:tmpl w:val="F2AA2E4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E563211"/>
    <w:multiLevelType w:val="hybridMultilevel"/>
    <w:tmpl w:val="F148139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3CD4AA9"/>
    <w:multiLevelType w:val="hybridMultilevel"/>
    <w:tmpl w:val="C29C963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462251E"/>
    <w:multiLevelType w:val="hybridMultilevel"/>
    <w:tmpl w:val="9176D7B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4EB2422"/>
    <w:multiLevelType w:val="hybridMultilevel"/>
    <w:tmpl w:val="E44616B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204921"/>
    <w:multiLevelType w:val="hybridMultilevel"/>
    <w:tmpl w:val="C632189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605F1C"/>
    <w:multiLevelType w:val="hybridMultilevel"/>
    <w:tmpl w:val="0EDEC38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B0251FB"/>
    <w:multiLevelType w:val="hybridMultilevel"/>
    <w:tmpl w:val="B6904BF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B386A35"/>
    <w:multiLevelType w:val="hybridMultilevel"/>
    <w:tmpl w:val="9F924F6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F61D17"/>
    <w:multiLevelType w:val="hybridMultilevel"/>
    <w:tmpl w:val="726C25B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2C631F4"/>
    <w:multiLevelType w:val="hybridMultilevel"/>
    <w:tmpl w:val="E0FCAC7A"/>
    <w:lvl w:ilvl="0" w:tplc="7446FF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53996CEB"/>
    <w:multiLevelType w:val="hybridMultilevel"/>
    <w:tmpl w:val="818E8750"/>
    <w:lvl w:ilvl="0" w:tplc="BC4073E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3B33F9B"/>
    <w:multiLevelType w:val="hybridMultilevel"/>
    <w:tmpl w:val="D00E39E0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84C23D5"/>
    <w:multiLevelType w:val="hybridMultilevel"/>
    <w:tmpl w:val="09F4591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AD65C3"/>
    <w:multiLevelType w:val="hybridMultilevel"/>
    <w:tmpl w:val="46A22FA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0">
    <w:nsid w:val="5F340AC0"/>
    <w:multiLevelType w:val="hybridMultilevel"/>
    <w:tmpl w:val="9DC060F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05017B4"/>
    <w:multiLevelType w:val="hybridMultilevel"/>
    <w:tmpl w:val="ADBA417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C858FB"/>
    <w:multiLevelType w:val="hybridMultilevel"/>
    <w:tmpl w:val="FBBAAFF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3550181"/>
    <w:multiLevelType w:val="hybridMultilevel"/>
    <w:tmpl w:val="859E9AF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3613EF6"/>
    <w:multiLevelType w:val="hybridMultilevel"/>
    <w:tmpl w:val="48F8A3E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54858F9"/>
    <w:multiLevelType w:val="hybridMultilevel"/>
    <w:tmpl w:val="4E68642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7E757ED"/>
    <w:multiLevelType w:val="hybridMultilevel"/>
    <w:tmpl w:val="3344FDB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C8B6EA5"/>
    <w:multiLevelType w:val="hybridMultilevel"/>
    <w:tmpl w:val="E6783CD2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CE56CCD"/>
    <w:multiLevelType w:val="hybridMultilevel"/>
    <w:tmpl w:val="C96A5FC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D593556"/>
    <w:multiLevelType w:val="hybridMultilevel"/>
    <w:tmpl w:val="64546D8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EB61978"/>
    <w:multiLevelType w:val="hybridMultilevel"/>
    <w:tmpl w:val="6E24E9C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F5B3E47"/>
    <w:multiLevelType w:val="hybridMultilevel"/>
    <w:tmpl w:val="9B709FE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3C223EC"/>
    <w:multiLevelType w:val="hybridMultilevel"/>
    <w:tmpl w:val="4594A66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6CA66FC"/>
    <w:multiLevelType w:val="multilevel"/>
    <w:tmpl w:val="44E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0237FF"/>
    <w:multiLevelType w:val="hybridMultilevel"/>
    <w:tmpl w:val="BC84A37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DB30491"/>
    <w:multiLevelType w:val="hybridMultilevel"/>
    <w:tmpl w:val="5DA6472A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EC10264"/>
    <w:multiLevelType w:val="hybridMultilevel"/>
    <w:tmpl w:val="80106BE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FD14DA2"/>
    <w:multiLevelType w:val="hybridMultilevel"/>
    <w:tmpl w:val="D63EC1D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25"/>
  </w:num>
  <w:num w:numId="5">
    <w:abstractNumId w:val="43"/>
  </w:num>
  <w:num w:numId="6">
    <w:abstractNumId w:val="46"/>
  </w:num>
  <w:num w:numId="7">
    <w:abstractNumId w:val="4"/>
  </w:num>
  <w:num w:numId="8">
    <w:abstractNumId w:val="7"/>
  </w:num>
  <w:num w:numId="9">
    <w:abstractNumId w:val="28"/>
  </w:num>
  <w:num w:numId="10">
    <w:abstractNumId w:val="3"/>
  </w:num>
  <w:num w:numId="11">
    <w:abstractNumId w:val="54"/>
  </w:num>
  <w:num w:numId="12">
    <w:abstractNumId w:val="6"/>
  </w:num>
  <w:num w:numId="13">
    <w:abstractNumId w:val="47"/>
  </w:num>
  <w:num w:numId="14">
    <w:abstractNumId w:val="13"/>
  </w:num>
  <w:num w:numId="15">
    <w:abstractNumId w:val="5"/>
  </w:num>
  <w:num w:numId="16">
    <w:abstractNumId w:val="23"/>
  </w:num>
  <w:num w:numId="17">
    <w:abstractNumId w:val="61"/>
  </w:num>
  <w:num w:numId="18">
    <w:abstractNumId w:val="50"/>
  </w:num>
  <w:num w:numId="19">
    <w:abstractNumId w:val="15"/>
  </w:num>
  <w:num w:numId="20">
    <w:abstractNumId w:val="21"/>
  </w:num>
  <w:num w:numId="21">
    <w:abstractNumId w:val="62"/>
  </w:num>
  <w:num w:numId="22">
    <w:abstractNumId w:val="48"/>
  </w:num>
  <w:num w:numId="23">
    <w:abstractNumId w:val="41"/>
  </w:num>
  <w:num w:numId="24">
    <w:abstractNumId w:val="32"/>
  </w:num>
  <w:num w:numId="25">
    <w:abstractNumId w:val="14"/>
  </w:num>
  <w:num w:numId="26">
    <w:abstractNumId w:val="30"/>
  </w:num>
  <w:num w:numId="27">
    <w:abstractNumId w:val="35"/>
  </w:num>
  <w:num w:numId="28">
    <w:abstractNumId w:val="18"/>
  </w:num>
  <w:num w:numId="29">
    <w:abstractNumId w:val="52"/>
  </w:num>
  <w:num w:numId="30">
    <w:abstractNumId w:val="44"/>
  </w:num>
  <w:num w:numId="31">
    <w:abstractNumId w:val="19"/>
  </w:num>
  <w:num w:numId="32">
    <w:abstractNumId w:val="34"/>
  </w:num>
  <w:num w:numId="33">
    <w:abstractNumId w:val="1"/>
  </w:num>
  <w:num w:numId="34">
    <w:abstractNumId w:val="24"/>
  </w:num>
  <w:num w:numId="35">
    <w:abstractNumId w:val="29"/>
  </w:num>
  <w:num w:numId="36">
    <w:abstractNumId w:val="39"/>
  </w:num>
  <w:num w:numId="37">
    <w:abstractNumId w:val="53"/>
  </w:num>
  <w:num w:numId="38">
    <w:abstractNumId w:val="8"/>
  </w:num>
  <w:num w:numId="39">
    <w:abstractNumId w:val="42"/>
  </w:num>
  <w:num w:numId="40">
    <w:abstractNumId w:val="60"/>
  </w:num>
  <w:num w:numId="41">
    <w:abstractNumId w:val="57"/>
  </w:num>
  <w:num w:numId="42">
    <w:abstractNumId w:val="66"/>
  </w:num>
  <w:num w:numId="43">
    <w:abstractNumId w:val="65"/>
  </w:num>
  <w:num w:numId="44">
    <w:abstractNumId w:val="2"/>
  </w:num>
  <w:num w:numId="45">
    <w:abstractNumId w:val="67"/>
  </w:num>
  <w:num w:numId="46">
    <w:abstractNumId w:val="51"/>
  </w:num>
  <w:num w:numId="47">
    <w:abstractNumId w:val="12"/>
  </w:num>
  <w:num w:numId="48">
    <w:abstractNumId w:val="10"/>
  </w:num>
  <w:num w:numId="49">
    <w:abstractNumId w:val="16"/>
  </w:num>
  <w:num w:numId="50">
    <w:abstractNumId w:val="38"/>
  </w:num>
  <w:num w:numId="51">
    <w:abstractNumId w:val="26"/>
  </w:num>
  <w:num w:numId="52">
    <w:abstractNumId w:val="40"/>
  </w:num>
  <w:num w:numId="53">
    <w:abstractNumId w:val="9"/>
  </w:num>
  <w:num w:numId="54">
    <w:abstractNumId w:val="0"/>
  </w:num>
  <w:num w:numId="55">
    <w:abstractNumId w:val="56"/>
  </w:num>
  <w:num w:numId="56">
    <w:abstractNumId w:val="37"/>
  </w:num>
  <w:num w:numId="57">
    <w:abstractNumId w:val="58"/>
  </w:num>
  <w:num w:numId="58">
    <w:abstractNumId w:val="55"/>
  </w:num>
  <w:num w:numId="59">
    <w:abstractNumId w:val="36"/>
  </w:num>
  <w:num w:numId="60">
    <w:abstractNumId w:val="22"/>
  </w:num>
  <w:num w:numId="61">
    <w:abstractNumId w:val="59"/>
  </w:num>
  <w:num w:numId="62">
    <w:abstractNumId w:val="64"/>
  </w:num>
  <w:num w:numId="63">
    <w:abstractNumId w:val="33"/>
  </w:num>
  <w:num w:numId="64">
    <w:abstractNumId w:val="45"/>
  </w:num>
  <w:num w:numId="65">
    <w:abstractNumId w:val="17"/>
  </w:num>
  <w:num w:numId="66">
    <w:abstractNumId w:val="49"/>
  </w:num>
  <w:num w:numId="67">
    <w:abstractNumId w:val="63"/>
  </w:num>
  <w:num w:numId="68">
    <w:abstractNumId w:val="1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CCA"/>
    <w:rsid w:val="0002201D"/>
    <w:rsid w:val="00086CD9"/>
    <w:rsid w:val="000E74A3"/>
    <w:rsid w:val="000F19D1"/>
    <w:rsid w:val="00105590"/>
    <w:rsid w:val="00117CFB"/>
    <w:rsid w:val="00131779"/>
    <w:rsid w:val="00142EA6"/>
    <w:rsid w:val="00150AB3"/>
    <w:rsid w:val="00206CCA"/>
    <w:rsid w:val="002356F4"/>
    <w:rsid w:val="00276DAF"/>
    <w:rsid w:val="002A2830"/>
    <w:rsid w:val="002D2917"/>
    <w:rsid w:val="002D4706"/>
    <w:rsid w:val="00301E9A"/>
    <w:rsid w:val="00304433"/>
    <w:rsid w:val="00395305"/>
    <w:rsid w:val="003979C9"/>
    <w:rsid w:val="003A1787"/>
    <w:rsid w:val="003B0534"/>
    <w:rsid w:val="003B35FB"/>
    <w:rsid w:val="00401541"/>
    <w:rsid w:val="00412478"/>
    <w:rsid w:val="00417D78"/>
    <w:rsid w:val="004417D7"/>
    <w:rsid w:val="00471C68"/>
    <w:rsid w:val="004870A5"/>
    <w:rsid w:val="004908A4"/>
    <w:rsid w:val="004F2429"/>
    <w:rsid w:val="00511057"/>
    <w:rsid w:val="0052676B"/>
    <w:rsid w:val="005343DA"/>
    <w:rsid w:val="00562234"/>
    <w:rsid w:val="00565A57"/>
    <w:rsid w:val="00570791"/>
    <w:rsid w:val="005D7C9C"/>
    <w:rsid w:val="005F582E"/>
    <w:rsid w:val="006048CA"/>
    <w:rsid w:val="00617259"/>
    <w:rsid w:val="006272DD"/>
    <w:rsid w:val="006A1271"/>
    <w:rsid w:val="006B1CA3"/>
    <w:rsid w:val="006F40D5"/>
    <w:rsid w:val="006F5919"/>
    <w:rsid w:val="00705F16"/>
    <w:rsid w:val="00741D2F"/>
    <w:rsid w:val="0075397D"/>
    <w:rsid w:val="007572C1"/>
    <w:rsid w:val="00782A75"/>
    <w:rsid w:val="00783F7D"/>
    <w:rsid w:val="00797E6E"/>
    <w:rsid w:val="008324AC"/>
    <w:rsid w:val="008A2DA7"/>
    <w:rsid w:val="008A53F7"/>
    <w:rsid w:val="008B1368"/>
    <w:rsid w:val="008E3845"/>
    <w:rsid w:val="009757B3"/>
    <w:rsid w:val="009D7F04"/>
    <w:rsid w:val="009E3208"/>
    <w:rsid w:val="00A10125"/>
    <w:rsid w:val="00A104D6"/>
    <w:rsid w:val="00A620DB"/>
    <w:rsid w:val="00AA0816"/>
    <w:rsid w:val="00AB0F3C"/>
    <w:rsid w:val="00AF4612"/>
    <w:rsid w:val="00B0403E"/>
    <w:rsid w:val="00B12FCA"/>
    <w:rsid w:val="00B370EF"/>
    <w:rsid w:val="00B60B84"/>
    <w:rsid w:val="00B95FEF"/>
    <w:rsid w:val="00BA0106"/>
    <w:rsid w:val="00BB646A"/>
    <w:rsid w:val="00BD1A74"/>
    <w:rsid w:val="00BD37D2"/>
    <w:rsid w:val="00C15A58"/>
    <w:rsid w:val="00C94F06"/>
    <w:rsid w:val="00CF2A4C"/>
    <w:rsid w:val="00CF6D8E"/>
    <w:rsid w:val="00D14E04"/>
    <w:rsid w:val="00D529F6"/>
    <w:rsid w:val="00DA5D00"/>
    <w:rsid w:val="00DD6A23"/>
    <w:rsid w:val="00E04F59"/>
    <w:rsid w:val="00E97D86"/>
    <w:rsid w:val="00EA06FA"/>
    <w:rsid w:val="00EB3155"/>
    <w:rsid w:val="00EF603E"/>
    <w:rsid w:val="00F1416D"/>
    <w:rsid w:val="00F45D9B"/>
    <w:rsid w:val="00F620A1"/>
    <w:rsid w:val="00F81291"/>
    <w:rsid w:val="00F8162B"/>
    <w:rsid w:val="00FB127A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6CC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06CCA"/>
  </w:style>
  <w:style w:type="paragraph" w:styleId="a5">
    <w:name w:val="No Spacing"/>
    <w:link w:val="a4"/>
    <w:uiPriority w:val="1"/>
    <w:qFormat/>
    <w:rsid w:val="00206CCA"/>
    <w:pPr>
      <w:spacing w:after="0" w:line="240" w:lineRule="auto"/>
    </w:pPr>
  </w:style>
  <w:style w:type="paragraph" w:styleId="a6">
    <w:name w:val="Plain Text"/>
    <w:basedOn w:val="a"/>
    <w:link w:val="a7"/>
    <w:uiPriority w:val="99"/>
    <w:unhideWhenUsed/>
    <w:rsid w:val="00206CC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06CCA"/>
    <w:rPr>
      <w:rFonts w:ascii="Consolas" w:eastAsia="Calibri" w:hAnsi="Consolas" w:cs="Times New Roman"/>
      <w:sz w:val="21"/>
      <w:szCs w:val="21"/>
    </w:rPr>
  </w:style>
  <w:style w:type="paragraph" w:styleId="2">
    <w:name w:val="Body Text 2"/>
    <w:basedOn w:val="a"/>
    <w:link w:val="20"/>
    <w:rsid w:val="00206CCA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6C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aliases w:val="Обычный (Web),Обычный (Web)1,Обычный (Web) Знак"/>
    <w:basedOn w:val="a"/>
    <w:link w:val="a9"/>
    <w:uiPriority w:val="99"/>
    <w:qFormat/>
    <w:rsid w:val="00206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1,Обычный (Web)1 Знак,Обычный (Web) Знак Знак"/>
    <w:basedOn w:val="a0"/>
    <w:link w:val="a8"/>
    <w:uiPriority w:val="99"/>
    <w:locked/>
    <w:rsid w:val="0020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06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06CCA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20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A5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A5D00"/>
  </w:style>
  <w:style w:type="character" w:customStyle="1" w:styleId="eop">
    <w:name w:val="eop"/>
    <w:basedOn w:val="a0"/>
    <w:rsid w:val="00DA5D00"/>
  </w:style>
  <w:style w:type="paragraph" w:styleId="ab">
    <w:name w:val="List Paragraph"/>
    <w:basedOn w:val="a"/>
    <w:uiPriority w:val="34"/>
    <w:qFormat/>
    <w:rsid w:val="00150AB3"/>
    <w:pPr>
      <w:ind w:left="720"/>
      <w:contextualSpacing/>
    </w:pPr>
  </w:style>
  <w:style w:type="paragraph" w:customStyle="1" w:styleId="announcement">
    <w:name w:val="announcement"/>
    <w:basedOn w:val="a"/>
    <w:rsid w:val="006272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576A-C96C-43B9-9FB7-BF5C7F21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56721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мазур_кв</cp:lastModifiedBy>
  <cp:revision>2</cp:revision>
  <cp:lastPrinted>2022-04-27T13:23:00Z</cp:lastPrinted>
  <dcterms:created xsi:type="dcterms:W3CDTF">2022-05-04T06:44:00Z</dcterms:created>
  <dcterms:modified xsi:type="dcterms:W3CDTF">2022-05-04T06:44:00Z</dcterms:modified>
</cp:coreProperties>
</file>