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5C" w:rsidRPr="00935970" w:rsidRDefault="00A23ABA" w:rsidP="00A23ABA">
      <w:pPr>
        <w:jc w:val="center"/>
        <w:rPr>
          <w:sz w:val="28"/>
          <w:szCs w:val="28"/>
        </w:rPr>
      </w:pPr>
      <w:r w:rsidRPr="00935970">
        <w:rPr>
          <w:sz w:val="28"/>
          <w:szCs w:val="28"/>
        </w:rPr>
        <w:t xml:space="preserve">Протокол  общественного </w:t>
      </w:r>
      <w:proofErr w:type="gramStart"/>
      <w:r w:rsidRPr="00935970">
        <w:rPr>
          <w:sz w:val="28"/>
          <w:szCs w:val="28"/>
        </w:rPr>
        <w:t>обсуждения проекта Стратегии социально-экономического развития муниципального образования</w:t>
      </w:r>
      <w:proofErr w:type="gramEnd"/>
      <w:r w:rsidRPr="00935970">
        <w:rPr>
          <w:sz w:val="28"/>
          <w:szCs w:val="28"/>
        </w:rPr>
        <w:t xml:space="preserve"> Ломоносовский муниципальный район Ленинградской области на период до 2030 года.</w:t>
      </w:r>
    </w:p>
    <w:p w:rsidR="00A23ABA" w:rsidRPr="00935970" w:rsidRDefault="00A23ABA" w:rsidP="00A23ABA">
      <w:pPr>
        <w:jc w:val="center"/>
        <w:rPr>
          <w:sz w:val="28"/>
          <w:szCs w:val="28"/>
        </w:rPr>
      </w:pPr>
    </w:p>
    <w:p w:rsidR="00A23ABA" w:rsidRPr="00935970" w:rsidRDefault="00A23ABA" w:rsidP="00A23ABA">
      <w:pPr>
        <w:jc w:val="both"/>
        <w:rPr>
          <w:sz w:val="28"/>
          <w:szCs w:val="28"/>
        </w:rPr>
      </w:pPr>
      <w:r w:rsidRPr="00935970">
        <w:rPr>
          <w:sz w:val="28"/>
          <w:szCs w:val="28"/>
        </w:rPr>
        <w:tab/>
      </w:r>
      <w:proofErr w:type="gramStart"/>
      <w:r w:rsidRPr="00935970">
        <w:rPr>
          <w:sz w:val="28"/>
          <w:szCs w:val="28"/>
        </w:rPr>
        <w:t xml:space="preserve">Уведомление об общественном обсуждении проекта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 было размещено в газете «Ломоносовский районный вестник» и на официальном </w:t>
      </w:r>
      <w:proofErr w:type="spellStart"/>
      <w:r w:rsidRPr="00935970">
        <w:rPr>
          <w:sz w:val="28"/>
          <w:szCs w:val="28"/>
        </w:rPr>
        <w:t>интернет-портале</w:t>
      </w:r>
      <w:proofErr w:type="spellEnd"/>
      <w:r w:rsidRPr="00935970">
        <w:rPr>
          <w:sz w:val="28"/>
          <w:szCs w:val="28"/>
        </w:rPr>
        <w:t xml:space="preserve"> </w:t>
      </w:r>
      <w:r w:rsidR="00114235" w:rsidRPr="00935970">
        <w:rPr>
          <w:sz w:val="28"/>
          <w:szCs w:val="28"/>
        </w:rPr>
        <w:t xml:space="preserve">администрации МО Ломоносовский муниципальный район в информационно-телекоммуникационной сети «Интернет» </w:t>
      </w:r>
      <w:hyperlink r:id="rId7" w:history="1">
        <w:r w:rsidR="00114235" w:rsidRPr="00935970">
          <w:rPr>
            <w:rStyle w:val="a3"/>
            <w:sz w:val="28"/>
            <w:szCs w:val="28"/>
            <w:lang w:val="en-US"/>
          </w:rPr>
          <w:t>www</w:t>
        </w:r>
        <w:r w:rsidR="00114235" w:rsidRPr="00935970">
          <w:rPr>
            <w:rStyle w:val="a3"/>
            <w:sz w:val="28"/>
            <w:szCs w:val="28"/>
          </w:rPr>
          <w:t>.</w:t>
        </w:r>
        <w:proofErr w:type="spellStart"/>
        <w:r w:rsidR="00114235" w:rsidRPr="00935970">
          <w:rPr>
            <w:rStyle w:val="a3"/>
            <w:sz w:val="28"/>
            <w:szCs w:val="28"/>
            <w:lang w:val="en-US"/>
          </w:rPr>
          <w:t>lomonosovlo</w:t>
        </w:r>
        <w:proofErr w:type="spellEnd"/>
        <w:r w:rsidR="00114235" w:rsidRPr="00935970">
          <w:rPr>
            <w:rStyle w:val="a3"/>
            <w:sz w:val="28"/>
            <w:szCs w:val="28"/>
          </w:rPr>
          <w:t>.</w:t>
        </w:r>
        <w:proofErr w:type="spellStart"/>
        <w:r w:rsidR="00114235" w:rsidRPr="009359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5970">
        <w:rPr>
          <w:sz w:val="28"/>
          <w:szCs w:val="28"/>
        </w:rPr>
        <w:t>.</w:t>
      </w:r>
      <w:proofErr w:type="gramEnd"/>
    </w:p>
    <w:p w:rsidR="00114235" w:rsidRPr="00935970" w:rsidRDefault="00114235" w:rsidP="00A23ABA">
      <w:pPr>
        <w:jc w:val="both"/>
        <w:rPr>
          <w:sz w:val="28"/>
          <w:szCs w:val="28"/>
        </w:rPr>
      </w:pPr>
      <w:r w:rsidRPr="00171918">
        <w:rPr>
          <w:sz w:val="28"/>
          <w:szCs w:val="28"/>
        </w:rPr>
        <w:tab/>
      </w:r>
      <w:proofErr w:type="gramStart"/>
      <w:r w:rsidRPr="00935970">
        <w:rPr>
          <w:sz w:val="28"/>
          <w:szCs w:val="28"/>
        </w:rPr>
        <w:t>25</w:t>
      </w:r>
      <w:r w:rsidR="00E330E6" w:rsidRPr="00935970">
        <w:rPr>
          <w:sz w:val="28"/>
          <w:szCs w:val="28"/>
        </w:rPr>
        <w:t xml:space="preserve"> марта 2016 года </w:t>
      </w:r>
      <w:r w:rsidRPr="00935970">
        <w:rPr>
          <w:sz w:val="28"/>
          <w:szCs w:val="28"/>
        </w:rPr>
        <w:t xml:space="preserve"> проведено очное общественное обсуждение проекта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</w:t>
      </w:r>
      <w:r w:rsidR="004D1CE7" w:rsidRPr="00935970">
        <w:rPr>
          <w:sz w:val="28"/>
          <w:szCs w:val="28"/>
        </w:rPr>
        <w:t xml:space="preserve"> (далее Стратегия)</w:t>
      </w:r>
      <w:r w:rsidRPr="00935970">
        <w:rPr>
          <w:sz w:val="28"/>
          <w:szCs w:val="28"/>
        </w:rPr>
        <w:t xml:space="preserve"> с участием представителей Комитета экономического развития и инвестиционной деятельности Правительства Ленинградской области, Совета Депутатов муниципального образования Ломоносовский муниципальный район Ленинградской области</w:t>
      </w:r>
      <w:r w:rsidR="004D1CE7" w:rsidRPr="00935970">
        <w:rPr>
          <w:sz w:val="28"/>
          <w:szCs w:val="28"/>
        </w:rPr>
        <w:t>,</w:t>
      </w:r>
      <w:r w:rsidRPr="00935970">
        <w:rPr>
          <w:sz w:val="28"/>
          <w:szCs w:val="28"/>
        </w:rPr>
        <w:t xml:space="preserve"> членов Рабочей группы</w:t>
      </w:r>
      <w:r w:rsidR="004D1CE7" w:rsidRPr="00935970">
        <w:rPr>
          <w:sz w:val="28"/>
          <w:szCs w:val="28"/>
        </w:rPr>
        <w:t xml:space="preserve"> по разработке Стратегии (</w:t>
      </w:r>
      <w:r w:rsidRPr="00935970">
        <w:rPr>
          <w:sz w:val="28"/>
          <w:szCs w:val="28"/>
        </w:rPr>
        <w:t>утвержден</w:t>
      </w:r>
      <w:r w:rsidR="004D1CE7" w:rsidRPr="00935970">
        <w:rPr>
          <w:sz w:val="28"/>
          <w:szCs w:val="28"/>
        </w:rPr>
        <w:t>а</w:t>
      </w:r>
      <w:r w:rsidRPr="00935970">
        <w:rPr>
          <w:sz w:val="28"/>
          <w:szCs w:val="28"/>
        </w:rPr>
        <w:t xml:space="preserve"> постановлением</w:t>
      </w:r>
      <w:r w:rsidR="004D1CE7" w:rsidRPr="00935970">
        <w:rPr>
          <w:sz w:val="28"/>
          <w:szCs w:val="28"/>
        </w:rPr>
        <w:t xml:space="preserve"> администрации муниципального образования Ломоносовский муниципальный</w:t>
      </w:r>
      <w:proofErr w:type="gramEnd"/>
      <w:r w:rsidR="004D1CE7" w:rsidRPr="00935970">
        <w:rPr>
          <w:sz w:val="28"/>
          <w:szCs w:val="28"/>
        </w:rPr>
        <w:t xml:space="preserve"> район Ленинградской области от 03.09.2015 № 1326) и представителей общественности.</w:t>
      </w:r>
    </w:p>
    <w:p w:rsidR="00E330E6" w:rsidRDefault="00E330E6">
      <w:r>
        <w:br w:type="page"/>
      </w:r>
    </w:p>
    <w:p w:rsidR="00FE2F8A" w:rsidRDefault="00FE2F8A" w:rsidP="00FE2F8A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 xml:space="preserve">Итоги общественного </w:t>
      </w:r>
      <w:proofErr w:type="gramStart"/>
      <w:r>
        <w:rPr>
          <w:b/>
          <w:bCs/>
          <w:sz w:val="28"/>
          <w:szCs w:val="28"/>
        </w:rPr>
        <w:t>обсуждения Проекта Стратегии социально-экономического развития Ломоносовского района Ленинградской области</w:t>
      </w:r>
      <w:proofErr w:type="gramEnd"/>
      <w:r>
        <w:rPr>
          <w:b/>
          <w:bCs/>
          <w:sz w:val="28"/>
          <w:szCs w:val="28"/>
        </w:rPr>
        <w:t xml:space="preserve"> на период до 2030 года</w:t>
      </w:r>
    </w:p>
    <w:tbl>
      <w:tblPr>
        <w:tblStyle w:val="a4"/>
        <w:tblpPr w:leftFromText="180" w:rightFromText="180" w:horzAnchor="margin" w:tblpY="1115"/>
        <w:tblW w:w="0" w:type="auto"/>
        <w:tblLook w:val="04A0"/>
      </w:tblPr>
      <w:tblGrid>
        <w:gridCol w:w="675"/>
        <w:gridCol w:w="3261"/>
        <w:gridCol w:w="7153"/>
        <w:gridCol w:w="3697"/>
      </w:tblGrid>
      <w:tr w:rsidR="00935970" w:rsidTr="004D6A9C">
        <w:trPr>
          <w:trHeight w:val="1692"/>
        </w:trPr>
        <w:tc>
          <w:tcPr>
            <w:tcW w:w="675" w:type="dxa"/>
          </w:tcPr>
          <w:p w:rsidR="00935970" w:rsidRDefault="00935970" w:rsidP="00935970">
            <w:pPr>
              <w:jc w:val="center"/>
            </w:pPr>
          </w:p>
          <w:p w:rsidR="00FE2F8A" w:rsidRDefault="00FE2F8A" w:rsidP="00FE2F8A"/>
        </w:tc>
        <w:tc>
          <w:tcPr>
            <w:tcW w:w="3261" w:type="dxa"/>
          </w:tcPr>
          <w:p w:rsidR="00935970" w:rsidRDefault="00935970" w:rsidP="009359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Сведения о лице, направившем замечания или предложения, дата поступления и способ поступления </w:t>
            </w:r>
          </w:p>
          <w:p w:rsidR="00935970" w:rsidRDefault="00935970" w:rsidP="00935970">
            <w:pPr>
              <w:jc w:val="center"/>
            </w:pPr>
            <w:r>
              <w:rPr>
                <w:b/>
                <w:bCs/>
                <w:sz w:val="22"/>
              </w:rPr>
              <w:t>(</w:t>
            </w:r>
            <w:proofErr w:type="spellStart"/>
            <w:r>
              <w:rPr>
                <w:b/>
                <w:bCs/>
                <w:sz w:val="22"/>
              </w:rPr>
              <w:t>эл</w:t>
            </w:r>
            <w:proofErr w:type="spellEnd"/>
            <w:r>
              <w:rPr>
                <w:b/>
                <w:bCs/>
                <w:sz w:val="22"/>
              </w:rPr>
              <w:t xml:space="preserve">. почта, почта, иное) </w:t>
            </w:r>
          </w:p>
        </w:tc>
        <w:tc>
          <w:tcPr>
            <w:tcW w:w="7153" w:type="dxa"/>
          </w:tcPr>
          <w:p w:rsidR="00935970" w:rsidRDefault="009359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замечания или предложения </w:t>
            </w:r>
          </w:p>
        </w:tc>
        <w:tc>
          <w:tcPr>
            <w:tcW w:w="3697" w:type="dxa"/>
          </w:tcPr>
          <w:p w:rsidR="00935970" w:rsidRDefault="009359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Результаты рассмотрения (</w:t>
            </w:r>
            <w:proofErr w:type="gramStart"/>
            <w:r>
              <w:rPr>
                <w:b/>
                <w:bCs/>
                <w:sz w:val="22"/>
                <w:szCs w:val="22"/>
              </w:rPr>
              <w:t>учтено/частично учтено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или отклонено; указание причины полного или частичного отклонения) </w:t>
            </w:r>
          </w:p>
        </w:tc>
      </w:tr>
      <w:tr w:rsidR="00083EA5" w:rsidTr="00935970">
        <w:tc>
          <w:tcPr>
            <w:tcW w:w="675" w:type="dxa"/>
          </w:tcPr>
          <w:p w:rsidR="00083EA5" w:rsidRDefault="00083EA5" w:rsidP="00935970">
            <w:pPr>
              <w:jc w:val="both"/>
            </w:pPr>
            <w:r>
              <w:t>1.</w:t>
            </w:r>
          </w:p>
        </w:tc>
        <w:tc>
          <w:tcPr>
            <w:tcW w:w="3261" w:type="dxa"/>
          </w:tcPr>
          <w:p w:rsidR="00083EA5" w:rsidRDefault="006A6048" w:rsidP="00935970">
            <w:pPr>
              <w:jc w:val="both"/>
            </w:pPr>
            <w:r>
              <w:t>Пинчук В.О. –</w:t>
            </w:r>
            <w:r w:rsidR="004D6A9C">
              <w:t xml:space="preserve"> </w:t>
            </w:r>
            <w:r>
              <w:t xml:space="preserve">заместитель начальника департамента </w:t>
            </w:r>
            <w:r w:rsidR="004D6A9C">
              <w:t>Комитета экономического развития и инвестиционной деятельности Правительства Ленинградской области</w:t>
            </w:r>
          </w:p>
        </w:tc>
        <w:tc>
          <w:tcPr>
            <w:tcW w:w="7153" w:type="dxa"/>
          </w:tcPr>
          <w:p w:rsidR="00083EA5" w:rsidRDefault="004D6A9C" w:rsidP="004D6A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4D6A9C">
              <w:rPr>
                <w:rFonts w:ascii="Times New Roman" w:hAnsi="Times New Roman"/>
                <w:szCs w:val="24"/>
              </w:rPr>
              <w:t>Уменьшить раздел</w:t>
            </w:r>
            <w:r>
              <w:rPr>
                <w:rFonts w:ascii="Times New Roman" w:hAnsi="Times New Roman"/>
                <w:szCs w:val="24"/>
              </w:rPr>
              <w:t xml:space="preserve">, содержащий анализ СЭР района за предыдущий период, </w:t>
            </w:r>
            <w:proofErr w:type="gramStart"/>
            <w:r>
              <w:rPr>
                <w:rFonts w:ascii="Times New Roman" w:hAnsi="Times New Roman"/>
                <w:szCs w:val="24"/>
              </w:rPr>
              <w:t>возможно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вынести его в приложение к Стратегии..</w:t>
            </w:r>
          </w:p>
          <w:p w:rsidR="004D6A9C" w:rsidRDefault="004D6A9C" w:rsidP="004D6A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Более четко прописать стратегию развития малого бизнеса</w:t>
            </w:r>
            <w:r w:rsidR="00BC7953">
              <w:rPr>
                <w:rFonts w:ascii="Times New Roman" w:hAnsi="Times New Roman"/>
                <w:szCs w:val="24"/>
              </w:rPr>
              <w:t>.</w:t>
            </w:r>
          </w:p>
          <w:p w:rsidR="004D6A9C" w:rsidRDefault="004D6A9C" w:rsidP="004D6A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Обратить внимание на сбалансированность показателей по отрасли АПК.</w:t>
            </w:r>
          </w:p>
          <w:p w:rsidR="004D6A9C" w:rsidRDefault="004D6A9C" w:rsidP="004D6A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Сделать привязку Стратегии к </w:t>
            </w:r>
            <w:proofErr w:type="spellStart"/>
            <w:r>
              <w:rPr>
                <w:rFonts w:ascii="Times New Roman" w:hAnsi="Times New Roman"/>
                <w:szCs w:val="24"/>
              </w:rPr>
              <w:t>докуменам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территориального планирования с учетом внесенных изменений в генпланы поселений (картографический материал).</w:t>
            </w:r>
          </w:p>
          <w:p w:rsidR="004D6A9C" w:rsidRPr="004D6A9C" w:rsidRDefault="004D6A9C" w:rsidP="004D6A9C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Упростить</w:t>
            </w:r>
            <w:r w:rsidR="00BC7953">
              <w:rPr>
                <w:rFonts w:ascii="Times New Roman" w:hAnsi="Times New Roman"/>
                <w:szCs w:val="24"/>
              </w:rPr>
              <w:t xml:space="preserve"> основные</w:t>
            </w:r>
            <w:r>
              <w:rPr>
                <w:rFonts w:ascii="Times New Roman" w:hAnsi="Times New Roman"/>
                <w:szCs w:val="24"/>
              </w:rPr>
              <w:t xml:space="preserve"> формулировки, сделать более понятными для читателей.</w:t>
            </w:r>
          </w:p>
        </w:tc>
        <w:tc>
          <w:tcPr>
            <w:tcW w:w="3697" w:type="dxa"/>
          </w:tcPr>
          <w:p w:rsidR="00083EA5" w:rsidRDefault="00FE2F8A" w:rsidP="00935970">
            <w:pPr>
              <w:jc w:val="both"/>
            </w:pPr>
            <w:r>
              <w:t>Принято в целом.</w:t>
            </w:r>
          </w:p>
        </w:tc>
      </w:tr>
      <w:tr w:rsidR="00935970" w:rsidTr="00935970">
        <w:tc>
          <w:tcPr>
            <w:tcW w:w="675" w:type="dxa"/>
          </w:tcPr>
          <w:p w:rsidR="00935970" w:rsidRDefault="004D6A9C" w:rsidP="00935970">
            <w:pPr>
              <w:jc w:val="both"/>
            </w:pPr>
            <w:r>
              <w:t>2</w:t>
            </w:r>
            <w:r w:rsidR="00935970">
              <w:t>.</w:t>
            </w:r>
          </w:p>
        </w:tc>
        <w:tc>
          <w:tcPr>
            <w:tcW w:w="3261" w:type="dxa"/>
          </w:tcPr>
          <w:p w:rsidR="00935970" w:rsidRDefault="00935970" w:rsidP="00935970">
            <w:pPr>
              <w:jc w:val="both"/>
            </w:pPr>
            <w:r>
              <w:t xml:space="preserve">Станкевич А.С., председатель </w:t>
            </w:r>
            <w:proofErr w:type="gramStart"/>
            <w:r>
              <w:t xml:space="preserve">комитета социальной защиты населения администрации </w:t>
            </w:r>
            <w:r w:rsidRPr="00935970">
              <w:rPr>
                <w:sz w:val="28"/>
                <w:szCs w:val="28"/>
              </w:rPr>
              <w:t xml:space="preserve"> </w:t>
            </w:r>
            <w:r w:rsidRPr="00935970">
              <w:rPr>
                <w:szCs w:val="24"/>
              </w:rPr>
              <w:t>муниципального образования</w:t>
            </w:r>
            <w:proofErr w:type="gramEnd"/>
            <w:r w:rsidRPr="00935970">
              <w:rPr>
                <w:szCs w:val="24"/>
              </w:rPr>
              <w:t xml:space="preserve"> Ломоносовский муниципальный район Ленинградской области</w:t>
            </w:r>
          </w:p>
        </w:tc>
        <w:tc>
          <w:tcPr>
            <w:tcW w:w="7153" w:type="dxa"/>
          </w:tcPr>
          <w:p w:rsidR="00935970" w:rsidRPr="00171918" w:rsidRDefault="00935970" w:rsidP="00935970">
            <w:pPr>
              <w:ind w:firstLine="708"/>
              <w:jc w:val="both"/>
              <w:rPr>
                <w:szCs w:val="24"/>
              </w:rPr>
            </w:pPr>
            <w:r w:rsidRPr="00171918">
              <w:rPr>
                <w:b/>
                <w:szCs w:val="24"/>
              </w:rPr>
              <w:t>Раздел 1.9.3. Социальная защита населения</w:t>
            </w:r>
            <w:r w:rsidRPr="00171918">
              <w:rPr>
                <w:szCs w:val="24"/>
              </w:rPr>
              <w:t xml:space="preserve"> дополнить следующим абзацем:</w:t>
            </w:r>
          </w:p>
          <w:p w:rsidR="00935970" w:rsidRPr="00171918" w:rsidRDefault="00935970" w:rsidP="00935970">
            <w:pPr>
              <w:ind w:firstLine="708"/>
              <w:jc w:val="both"/>
              <w:rPr>
                <w:b/>
                <w:szCs w:val="24"/>
              </w:rPr>
            </w:pPr>
            <w:proofErr w:type="gramStart"/>
            <w:r w:rsidRPr="00171918">
              <w:rPr>
                <w:szCs w:val="24"/>
              </w:rPr>
              <w:t xml:space="preserve">«Согласно Плана мероприятий по реализации «Концепции развития системы социального обслуживания населения Ленинградской области              на 2016-2030 годы», учитывая потребности в предоставлении социальных услуг для разных категорий несовершеннолетних, предусматривается создание в 2017 году межрайонного стационарного отделения на базе муниципального автономного учреждения Центр социально-психологической помощи «Семья» </w:t>
            </w:r>
            <w:proofErr w:type="spellStart"/>
            <w:r w:rsidRPr="00171918">
              <w:rPr>
                <w:szCs w:val="24"/>
              </w:rPr>
              <w:t>Сосновоборского</w:t>
            </w:r>
            <w:proofErr w:type="spellEnd"/>
            <w:r w:rsidRPr="00171918">
              <w:rPr>
                <w:szCs w:val="24"/>
              </w:rPr>
              <w:t xml:space="preserve"> городского округа (4 дополнительных места для Ломоносовского муниципального района)».</w:t>
            </w:r>
            <w:proofErr w:type="gramEnd"/>
          </w:p>
          <w:p w:rsidR="00935970" w:rsidRDefault="00935970" w:rsidP="00935970">
            <w:pPr>
              <w:jc w:val="both"/>
            </w:pPr>
          </w:p>
        </w:tc>
        <w:tc>
          <w:tcPr>
            <w:tcW w:w="3697" w:type="dxa"/>
          </w:tcPr>
          <w:p w:rsidR="00935970" w:rsidRDefault="00935970" w:rsidP="00935970">
            <w:pPr>
              <w:jc w:val="both"/>
            </w:pPr>
            <w:r>
              <w:lastRenderedPageBreak/>
              <w:t>Принято в целом.</w:t>
            </w:r>
          </w:p>
        </w:tc>
      </w:tr>
      <w:tr w:rsidR="00935970" w:rsidTr="00935970">
        <w:tc>
          <w:tcPr>
            <w:tcW w:w="675" w:type="dxa"/>
          </w:tcPr>
          <w:p w:rsidR="00935970" w:rsidRDefault="004D6A9C" w:rsidP="00935970">
            <w:pPr>
              <w:jc w:val="both"/>
            </w:pPr>
            <w:r>
              <w:lastRenderedPageBreak/>
              <w:t>3</w:t>
            </w:r>
            <w:r w:rsidR="00171918">
              <w:t>.</w:t>
            </w:r>
          </w:p>
        </w:tc>
        <w:tc>
          <w:tcPr>
            <w:tcW w:w="3261" w:type="dxa"/>
          </w:tcPr>
          <w:p w:rsidR="00935970" w:rsidRDefault="00171918" w:rsidP="00935970">
            <w:pPr>
              <w:jc w:val="both"/>
            </w:pPr>
            <w:r>
              <w:t xml:space="preserve">Дудорова О.Н. </w:t>
            </w:r>
            <w:r w:rsidR="00565BA1">
              <w:t xml:space="preserve"> – научный сотрудник районного историко-краеведческого музея.</w:t>
            </w:r>
          </w:p>
        </w:tc>
        <w:tc>
          <w:tcPr>
            <w:tcW w:w="7153" w:type="dxa"/>
          </w:tcPr>
          <w:p w:rsidR="00911EE7" w:rsidRPr="00565BA1" w:rsidRDefault="00171918" w:rsidP="00911EE7">
            <w:pPr>
              <w:tabs>
                <w:tab w:val="left" w:pos="7380"/>
              </w:tabs>
              <w:autoSpaceDE w:val="0"/>
              <w:adjustRightInd w:val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b/>
              </w:rPr>
              <w:t xml:space="preserve">Раздел 1.6. </w:t>
            </w:r>
            <w:r w:rsidRPr="00171918">
              <w:rPr>
                <w:b/>
              </w:rPr>
              <w:t>«Туризм и рекреация»</w:t>
            </w:r>
            <w:r>
              <w:rPr>
                <w:b/>
              </w:rPr>
              <w:t xml:space="preserve"> </w:t>
            </w:r>
            <w:r>
              <w:t>дополнить в части стратегических ориентиров показателем «число туристов и экскурсантов, посетивших район»</w:t>
            </w:r>
            <w:r w:rsidR="00911EE7">
              <w:t>; абзац после слов «Для достижения пост</w:t>
            </w:r>
            <w:r w:rsidR="00083EA5">
              <w:t>авленных целей необходимо</w:t>
            </w:r>
            <w:proofErr w:type="gramStart"/>
            <w:r w:rsidR="00083EA5">
              <w:t>:»</w:t>
            </w:r>
            <w:proofErr w:type="gramEnd"/>
            <w:r w:rsidR="00083EA5">
              <w:t xml:space="preserve"> заменить  следующим текстом : </w:t>
            </w:r>
            <w:r>
              <w:t xml:space="preserve"> </w:t>
            </w:r>
            <w:r w:rsidRPr="00565BA1">
              <w:rPr>
                <w:szCs w:val="24"/>
              </w:rPr>
              <w:t>«</w:t>
            </w:r>
            <w:r w:rsidR="00911EE7" w:rsidRPr="00565BA1">
              <w:rPr>
                <w:rFonts w:cs="Times New Roman"/>
                <w:b/>
                <w:bCs/>
                <w:szCs w:val="24"/>
              </w:rPr>
              <w:t xml:space="preserve">1. </w:t>
            </w:r>
            <w:r w:rsidR="00911EE7" w:rsidRPr="00565BA1">
              <w:rPr>
                <w:rFonts w:ascii="Times New Roman CYR" w:hAnsi="Times New Roman CYR" w:cs="Times New Roman CYR"/>
                <w:b/>
                <w:bCs/>
                <w:szCs w:val="24"/>
              </w:rPr>
              <w:t>Реализация историко-культурного и природного потенциала территории и формирование  рекреационно-туристического кластера</w:t>
            </w:r>
          </w:p>
          <w:p w:rsidR="00911EE7" w:rsidRPr="00565BA1" w:rsidRDefault="00911EE7" w:rsidP="00911EE7">
            <w:pPr>
              <w:tabs>
                <w:tab w:val="left" w:pos="7380"/>
              </w:tabs>
              <w:autoSpaceDE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cs="Times New Roman"/>
                <w:b/>
                <w:bCs/>
                <w:szCs w:val="24"/>
              </w:rPr>
              <w:t xml:space="preserve">1.1. </w:t>
            </w:r>
            <w:r w:rsidRPr="00565BA1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Развитие историко-культурного туризма </w:t>
            </w:r>
            <w:r w:rsidRPr="00565BA1">
              <w:rPr>
                <w:rFonts w:ascii="Times New Roman CYR" w:hAnsi="Times New Roman CYR" w:cs="Times New Roman CYR"/>
                <w:szCs w:val="24"/>
              </w:rPr>
              <w:t>на базе дворцово-парковых ансамблей и фортификационных сооружений Копорья, включающее</w:t>
            </w:r>
            <w:r w:rsidRPr="00565BA1">
              <w:rPr>
                <w:rFonts w:ascii="Times New Roman CYR" w:hAnsi="Times New Roman CYR" w:cs="Times New Roman CYR"/>
                <w:b/>
                <w:bCs/>
                <w:i/>
                <w:iCs/>
                <w:szCs w:val="24"/>
              </w:rPr>
              <w:t xml:space="preserve"> </w:t>
            </w: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развитие инфраструктуры туризма в н.п. </w:t>
            </w:r>
            <w:proofErr w:type="gramStart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Копорье (стоянка для автомобилей, мини гостиница, ресторан, поселок </w:t>
            </w:r>
            <w:r w:rsidRPr="00565BA1">
              <w:rPr>
                <w:rFonts w:cs="Times New Roman"/>
                <w:szCs w:val="24"/>
              </w:rPr>
              <w:t>«</w:t>
            </w:r>
            <w:r w:rsidRPr="00565BA1">
              <w:rPr>
                <w:rFonts w:ascii="Times New Roman CYR" w:hAnsi="Times New Roman CYR" w:cs="Times New Roman CYR"/>
                <w:szCs w:val="24"/>
              </w:rPr>
              <w:t>Город Мастеров</w:t>
            </w:r>
            <w:r w:rsidRPr="00565BA1">
              <w:rPr>
                <w:rFonts w:cs="Times New Roman"/>
                <w:szCs w:val="24"/>
              </w:rPr>
              <w:t xml:space="preserve">» - </w:t>
            </w:r>
            <w:r w:rsidRPr="00565BA1">
              <w:rPr>
                <w:rFonts w:ascii="Times New Roman CYR" w:hAnsi="Times New Roman CYR" w:cs="Times New Roman CYR"/>
                <w:szCs w:val="24"/>
              </w:rPr>
              <w:t>мастерские, пекарни, кузница, сувенирные лавки и т.п.);</w:t>
            </w:r>
            <w:r w:rsidRPr="00565BA1">
              <w:rPr>
                <w:rFonts w:ascii="Times New Roman CYR" w:hAnsi="Times New Roman CYR" w:cs="Times New Roman CYR"/>
                <w:szCs w:val="24"/>
              </w:rPr>
              <w:tab/>
            </w:r>
            <w:proofErr w:type="gramEnd"/>
          </w:p>
          <w:p w:rsidR="00911EE7" w:rsidRPr="00565BA1" w:rsidRDefault="00911EE7" w:rsidP="00911EE7">
            <w:pPr>
              <w:tabs>
                <w:tab w:val="left" w:pos="7380"/>
              </w:tabs>
              <w:autoSpaceDE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- Развитие историко-культурного туризма на базе дворцово-паркового ансамбля </w:t>
            </w:r>
            <w:r w:rsidRPr="00565BA1">
              <w:rPr>
                <w:rFonts w:cs="Times New Roman"/>
                <w:szCs w:val="24"/>
              </w:rPr>
              <w:t>«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Гостилицкий</w:t>
            </w:r>
            <w:proofErr w:type="spellEnd"/>
            <w:r w:rsidRPr="00565BA1">
              <w:rPr>
                <w:rFonts w:cs="Times New Roman"/>
                <w:szCs w:val="24"/>
              </w:rPr>
              <w:t>»;</w:t>
            </w:r>
          </w:p>
          <w:p w:rsidR="00911EE7" w:rsidRPr="00565BA1" w:rsidRDefault="00911EE7" w:rsidP="00911EE7">
            <w:pPr>
              <w:tabs>
                <w:tab w:val="left" w:pos="7380"/>
              </w:tabs>
              <w:autoSpaceDE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- Развитие рекреационной инфраструктуры на туристическом маршруте </w:t>
            </w:r>
            <w:r w:rsidRPr="00565BA1">
              <w:rPr>
                <w:rFonts w:cs="Times New Roman"/>
                <w:szCs w:val="24"/>
              </w:rPr>
              <w:t>«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Гостилицы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–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Лопухинка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– Копорье</w:t>
            </w:r>
            <w:r w:rsidRPr="00565BA1">
              <w:rPr>
                <w:rFonts w:cs="Times New Roman"/>
                <w:szCs w:val="24"/>
              </w:rPr>
              <w:t>».</w:t>
            </w:r>
          </w:p>
          <w:p w:rsidR="00911EE7" w:rsidRPr="00565BA1" w:rsidRDefault="00911EE7" w:rsidP="00911EE7">
            <w:pPr>
              <w:autoSpaceDE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565BA1">
              <w:rPr>
                <w:rFonts w:cs="Times New Roman"/>
                <w:b/>
                <w:bCs/>
                <w:szCs w:val="24"/>
              </w:rPr>
              <w:t xml:space="preserve">1.2. </w:t>
            </w:r>
            <w:r w:rsidRPr="00565BA1">
              <w:rPr>
                <w:rFonts w:ascii="Times New Roman CYR" w:hAnsi="Times New Roman CYR" w:cs="Times New Roman CYR"/>
                <w:b/>
                <w:bCs/>
                <w:szCs w:val="24"/>
              </w:rPr>
              <w:t>Развитие военно-патриотического туризма:</w:t>
            </w:r>
          </w:p>
          <w:p w:rsidR="00911EE7" w:rsidRPr="00565BA1" w:rsidRDefault="00911EE7" w:rsidP="00911EE7">
            <w:pPr>
              <w:pStyle w:val="a6"/>
              <w:numPr>
                <w:ilvl w:val="0"/>
                <w:numId w:val="2"/>
              </w:numPr>
              <w:autoSpaceDE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szCs w:val="24"/>
              </w:rPr>
            </w:pPr>
            <w:r w:rsidRPr="00565BA1">
              <w:rPr>
                <w:rFonts w:ascii="Times New Roman CYR" w:eastAsiaTheme="minorHAnsi" w:hAnsi="Times New Roman CYR" w:cs="Times New Roman CYR"/>
                <w:szCs w:val="24"/>
              </w:rPr>
              <w:t xml:space="preserve">Развитие военно-патриотического туризма по маршрутам </w:t>
            </w:r>
            <w:r w:rsidRPr="00565BA1">
              <w:rPr>
                <w:rFonts w:ascii="Times New Roman" w:eastAsiaTheme="minorHAnsi" w:hAnsi="Times New Roman"/>
                <w:szCs w:val="24"/>
              </w:rPr>
              <w:t>«</w:t>
            </w:r>
            <w:proofErr w:type="spellStart"/>
            <w:r w:rsidRPr="00565BA1">
              <w:rPr>
                <w:rFonts w:ascii="Times New Roman CYR" w:eastAsiaTheme="minorHAnsi" w:hAnsi="Times New Roman CYR" w:cs="Times New Roman CYR"/>
                <w:szCs w:val="24"/>
              </w:rPr>
              <w:t>Ораниенбаумский</w:t>
            </w:r>
            <w:proofErr w:type="spellEnd"/>
            <w:r w:rsidRPr="00565BA1">
              <w:rPr>
                <w:rFonts w:ascii="Times New Roman CYR" w:eastAsiaTheme="minorHAnsi" w:hAnsi="Times New Roman CYR" w:cs="Times New Roman CYR"/>
                <w:szCs w:val="24"/>
              </w:rPr>
              <w:t xml:space="preserve"> плацдарм</w:t>
            </w:r>
            <w:r w:rsidRPr="00565BA1">
              <w:rPr>
                <w:rFonts w:ascii="Times New Roman" w:eastAsiaTheme="minorHAnsi" w:hAnsi="Times New Roman"/>
                <w:szCs w:val="24"/>
              </w:rPr>
              <w:t>»;</w:t>
            </w:r>
          </w:p>
          <w:p w:rsidR="00911EE7" w:rsidRPr="00565BA1" w:rsidRDefault="00911EE7" w:rsidP="00911EE7">
            <w:pPr>
              <w:pStyle w:val="a6"/>
              <w:numPr>
                <w:ilvl w:val="0"/>
                <w:numId w:val="2"/>
              </w:numPr>
              <w:autoSpaceDE w:val="0"/>
              <w:adjustRightInd w:val="0"/>
              <w:jc w:val="both"/>
              <w:rPr>
                <w:rFonts w:ascii="Times New Roman CYR" w:eastAsiaTheme="minorHAnsi" w:hAnsi="Times New Roman CYR" w:cs="Times New Roman CYR"/>
                <w:b/>
                <w:bCs/>
                <w:szCs w:val="24"/>
              </w:rPr>
            </w:pPr>
            <w:proofErr w:type="gramStart"/>
            <w:r w:rsidRPr="00565BA1">
              <w:rPr>
                <w:rFonts w:ascii="Times New Roman CYR" w:eastAsiaTheme="minorHAnsi" w:hAnsi="Times New Roman CYR" w:cs="Times New Roman CYR"/>
                <w:szCs w:val="24"/>
              </w:rPr>
              <w:t xml:space="preserve">Организация военно-патриотических </w:t>
            </w:r>
            <w:proofErr w:type="spellStart"/>
            <w:r w:rsidRPr="00565BA1">
              <w:rPr>
                <w:rFonts w:ascii="Times New Roman CYR" w:eastAsiaTheme="minorHAnsi" w:hAnsi="Times New Roman CYR" w:cs="Times New Roman CYR"/>
                <w:szCs w:val="24"/>
              </w:rPr>
              <w:t>квестов</w:t>
            </w:r>
            <w:proofErr w:type="spellEnd"/>
            <w:r w:rsidRPr="00565BA1">
              <w:rPr>
                <w:rFonts w:ascii="Times New Roman CYR" w:eastAsiaTheme="minorHAnsi" w:hAnsi="Times New Roman CYR" w:cs="Times New Roman CYR"/>
                <w:szCs w:val="24"/>
              </w:rPr>
              <w:t xml:space="preserve"> для молодежи на форте </w:t>
            </w:r>
            <w:r w:rsidRPr="00565BA1">
              <w:rPr>
                <w:rFonts w:ascii="Times New Roman" w:eastAsiaTheme="minorHAnsi" w:hAnsi="Times New Roman"/>
                <w:szCs w:val="24"/>
              </w:rPr>
              <w:t>«</w:t>
            </w:r>
            <w:r w:rsidRPr="00565BA1">
              <w:rPr>
                <w:rFonts w:ascii="Times New Roman CYR" w:eastAsiaTheme="minorHAnsi" w:hAnsi="Times New Roman CYR" w:cs="Times New Roman CYR"/>
                <w:szCs w:val="24"/>
              </w:rPr>
              <w:t>Красная Горка</w:t>
            </w:r>
            <w:r w:rsidRPr="00565BA1">
              <w:rPr>
                <w:rFonts w:ascii="Times New Roman" w:eastAsiaTheme="minorHAnsi" w:hAnsi="Times New Roman"/>
                <w:szCs w:val="24"/>
              </w:rPr>
              <w:t>».</w:t>
            </w:r>
            <w:proofErr w:type="gramEnd"/>
          </w:p>
          <w:p w:rsidR="00911EE7" w:rsidRPr="00565BA1" w:rsidRDefault="00911EE7" w:rsidP="00911EE7">
            <w:pPr>
              <w:autoSpaceDE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565BA1">
              <w:rPr>
                <w:rFonts w:cs="Times New Roman"/>
                <w:b/>
                <w:bCs/>
                <w:szCs w:val="24"/>
                <w:lang w:val="en-US"/>
              </w:rPr>
              <w:t xml:space="preserve">1.3. </w:t>
            </w:r>
            <w:r w:rsidRPr="00565BA1">
              <w:rPr>
                <w:rFonts w:ascii="Times New Roman CYR" w:hAnsi="Times New Roman CYR" w:cs="Times New Roman CYR"/>
                <w:b/>
                <w:bCs/>
                <w:szCs w:val="24"/>
              </w:rPr>
              <w:t>Развитие экологического туризма: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right="-1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Содействие созданию рекреационной зоны в соответствии с хозяйственным регламентом природно-ориентированного отдыха на территориях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Гостилицкого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 Володарского и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Глуховского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участкового лесничеств  Ломоносовского  лесничества, расположенных на территории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Горбунковского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и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Низинского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СП общей площадью  более 6500 га;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Развитие туристической деятельности на базе природного </w:t>
            </w:r>
            <w:r w:rsidRPr="00565BA1">
              <w:rPr>
                <w:rFonts w:ascii="Times New Roman CYR" w:hAnsi="Times New Roman CYR" w:cs="Times New Roman CYR"/>
                <w:szCs w:val="24"/>
              </w:rPr>
              <w:lastRenderedPageBreak/>
              <w:t xml:space="preserve">комплексного заказника </w:t>
            </w:r>
            <w:r w:rsidRPr="00565BA1">
              <w:rPr>
                <w:rFonts w:cs="Times New Roman"/>
                <w:szCs w:val="24"/>
              </w:rPr>
              <w:t>«</w:t>
            </w:r>
            <w:r w:rsidRPr="00565BA1">
              <w:rPr>
                <w:rFonts w:ascii="Times New Roman CYR" w:hAnsi="Times New Roman CYR" w:cs="Times New Roman CYR"/>
                <w:szCs w:val="24"/>
              </w:rPr>
              <w:t>Лебяжий</w:t>
            </w:r>
            <w:r w:rsidRPr="00565BA1">
              <w:rPr>
                <w:rFonts w:cs="Times New Roman"/>
                <w:szCs w:val="24"/>
              </w:rPr>
              <w:t>»;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Организация рекреационных зон на территориях природных комплексов, не имеющих статус ООПТ, в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Систо-Палкино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Кандикюле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Гостилицах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Черемыкино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на берегу оз.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Заозерское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>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Организация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эко-экскурсий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по сакральным местам Ломоносовского района: Путешествия к сакральным камням «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Русич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>», «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Петровицкий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», «Жертвенный»,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эко-тропа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по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Гостилицкому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парку, ознакомление с редкими видами растений, занесенными в красную книгу.</w:t>
            </w:r>
          </w:p>
          <w:p w:rsidR="00911EE7" w:rsidRPr="00565BA1" w:rsidRDefault="00911EE7" w:rsidP="00911EE7">
            <w:pPr>
              <w:autoSpaceDE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565BA1">
              <w:rPr>
                <w:rFonts w:cs="Times New Roman"/>
                <w:b/>
                <w:bCs/>
                <w:szCs w:val="24"/>
                <w:lang w:val="en-US"/>
              </w:rPr>
              <w:t xml:space="preserve">1.4. </w:t>
            </w:r>
            <w:r w:rsidRPr="00565BA1">
              <w:rPr>
                <w:rFonts w:ascii="Times New Roman CYR" w:hAnsi="Times New Roman CYR" w:cs="Times New Roman CYR"/>
                <w:b/>
                <w:bCs/>
                <w:szCs w:val="24"/>
              </w:rPr>
              <w:t>Развитие спортивно-оздоровительного туризма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Между дер. Кукушкино и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Ускуля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на землях особо охраняемых территорий и объектов планируется строительство спортивно-рекреационного центра. Планируется строительство детских площадок и реконструкция стадиона;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Строительство объектов инфраструктуры </w:t>
            </w:r>
            <w:r w:rsidR="00565BA1">
              <w:rPr>
                <w:rFonts w:ascii="Times New Roman CYR" w:hAnsi="Times New Roman CYR" w:cs="Times New Roman CYR"/>
                <w:szCs w:val="24"/>
              </w:rPr>
              <w:t>для водных видов спорта</w:t>
            </w:r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в </w:t>
            </w:r>
            <w:proofErr w:type="gramStart"/>
            <w:r w:rsidRPr="00565BA1">
              <w:rPr>
                <w:rFonts w:ascii="Times New Roman CYR" w:hAnsi="Times New Roman CYR" w:cs="Times New Roman CYR"/>
                <w:szCs w:val="24"/>
              </w:rPr>
              <w:t>Лебяжьем</w:t>
            </w:r>
            <w:proofErr w:type="gram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и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Шепелево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>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Строительство горнолыжного курорта на территории от дер. Юрьево до дер.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Широково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с перепадом высот до 100 м;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Строительство всесезонной турбазы отдыха в дер.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Кумолово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с реконструкцией 3-х зданий (организация мест для отдыха, питания, аренда туристического оборудования, снегоходы,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квадроциклы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и т.п.);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cs="Times New Roman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Развитие зоны краткосрочного организованного загородного отдыха в районе Копорье,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Лопухинка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Разбегаево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горнолыжного комплекса </w:t>
            </w:r>
            <w:r w:rsidRPr="00565BA1">
              <w:rPr>
                <w:rFonts w:cs="Times New Roman"/>
                <w:szCs w:val="24"/>
              </w:rPr>
              <w:t>«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Туутари-парк</w:t>
            </w:r>
            <w:proofErr w:type="spellEnd"/>
            <w:r w:rsidRPr="00565BA1">
              <w:rPr>
                <w:rFonts w:cs="Times New Roman"/>
                <w:szCs w:val="24"/>
              </w:rPr>
              <w:t>»;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Рекреационное развитие прибрежной зоны Финского залива от р.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Керново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до границы с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Кингисеппским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районом и от урочища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Пярнушки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до дер.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Систо-Палкино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(необходим перевод земель лесного фонда);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lastRenderedPageBreak/>
              <w:t xml:space="preserve">Развитие зоны пляжного отдыха на берегу Финского залива в районе н.п. Лебяжье, Большая Ижора,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Систо-Палкино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Кандакюля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и бухты Батарейная;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Развитие зоны пляжного отдыха в районе локальных искусственных и естественных водных пространств в районе карьеров к северу Большая Ижора в районе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Низино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>;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Рекреационное развитие  прибрежной зоны Финского залива от пос. Лебяжье до дер.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Шепелево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, включая район 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Горовалдайского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озера.</w:t>
            </w:r>
          </w:p>
          <w:p w:rsidR="00911EE7" w:rsidRPr="00565BA1" w:rsidRDefault="00911EE7" w:rsidP="00911EE7">
            <w:pPr>
              <w:autoSpaceDE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565BA1">
              <w:rPr>
                <w:rFonts w:cs="Times New Roman"/>
                <w:b/>
                <w:bCs/>
                <w:szCs w:val="24"/>
                <w:lang w:val="en-US"/>
              </w:rPr>
              <w:t xml:space="preserve">1.5. </w:t>
            </w:r>
            <w:r w:rsidRPr="00565BA1">
              <w:rPr>
                <w:rFonts w:ascii="Times New Roman CYR" w:hAnsi="Times New Roman CYR" w:cs="Times New Roman CYR"/>
                <w:b/>
                <w:bCs/>
                <w:szCs w:val="24"/>
              </w:rPr>
              <w:t>Развитие сельского туризма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>Создание условий для увеличения количества сельских гостевых домов и отелей, вовлечение местных жителей и субъектов малого и среднего бизнеса в инфраструктуру туризма Ломоносовского района.</w:t>
            </w:r>
          </w:p>
          <w:p w:rsidR="00911EE7" w:rsidRPr="00565BA1" w:rsidRDefault="00911EE7" w:rsidP="00911EE7">
            <w:pPr>
              <w:autoSpaceDE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565BA1">
              <w:rPr>
                <w:rFonts w:cs="Times New Roman"/>
                <w:b/>
                <w:bCs/>
                <w:szCs w:val="24"/>
                <w:lang w:val="en-US"/>
              </w:rPr>
              <w:t xml:space="preserve">1.6. </w:t>
            </w:r>
            <w:r w:rsidRPr="00565BA1">
              <w:rPr>
                <w:rFonts w:ascii="Times New Roman CYR" w:hAnsi="Times New Roman CYR" w:cs="Times New Roman CYR"/>
                <w:b/>
                <w:bCs/>
                <w:szCs w:val="24"/>
              </w:rPr>
              <w:t>Развитие событийного туризма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0" w:hanging="360"/>
              <w:jc w:val="both"/>
              <w:rPr>
                <w:rFonts w:cs="Times New Roman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 xml:space="preserve">Традиционное проведение фольклорно-исторического праздника </w:t>
            </w:r>
            <w:r w:rsidRPr="00565BA1">
              <w:rPr>
                <w:rFonts w:cs="Times New Roman"/>
                <w:szCs w:val="24"/>
              </w:rPr>
              <w:t>«</w:t>
            </w:r>
            <w:proofErr w:type="spellStart"/>
            <w:r w:rsidRPr="00565BA1">
              <w:rPr>
                <w:rFonts w:ascii="Times New Roman CYR" w:hAnsi="Times New Roman CYR" w:cs="Times New Roman CYR"/>
                <w:szCs w:val="24"/>
              </w:rPr>
              <w:t>Копорская</w:t>
            </w:r>
            <w:proofErr w:type="spellEnd"/>
            <w:r w:rsidRPr="00565BA1">
              <w:rPr>
                <w:rFonts w:ascii="Times New Roman CYR" w:hAnsi="Times New Roman CYR" w:cs="Times New Roman CYR"/>
                <w:szCs w:val="24"/>
              </w:rPr>
              <w:t xml:space="preserve"> потеха</w:t>
            </w:r>
            <w:r w:rsidRPr="00565BA1">
              <w:rPr>
                <w:rFonts w:cs="Times New Roman"/>
                <w:szCs w:val="24"/>
              </w:rPr>
              <w:t>»</w:t>
            </w:r>
          </w:p>
          <w:p w:rsidR="00911EE7" w:rsidRPr="00565BA1" w:rsidRDefault="00911EE7" w:rsidP="00911E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0" w:hanging="36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565BA1">
              <w:rPr>
                <w:rFonts w:ascii="Times New Roman CYR" w:hAnsi="Times New Roman CYR" w:cs="Times New Roman CYR"/>
                <w:szCs w:val="24"/>
              </w:rPr>
              <w:t>Проведение военно-исторических реконструкций военных действий (сражений) Великой отечественной войны</w:t>
            </w:r>
            <w:proofErr w:type="gramStart"/>
            <w:r w:rsidRPr="00565BA1">
              <w:rPr>
                <w:rFonts w:ascii="Times New Roman CYR" w:hAnsi="Times New Roman CYR" w:cs="Times New Roman CYR"/>
                <w:szCs w:val="24"/>
              </w:rPr>
              <w:t>.</w:t>
            </w:r>
            <w:r w:rsidR="00083EA5" w:rsidRPr="00565BA1">
              <w:rPr>
                <w:rFonts w:ascii="Times New Roman CYR" w:hAnsi="Times New Roman CYR" w:cs="Times New Roman CYR"/>
                <w:szCs w:val="24"/>
              </w:rPr>
              <w:t>»</w:t>
            </w:r>
            <w:proofErr w:type="gramEnd"/>
          </w:p>
          <w:p w:rsidR="00935970" w:rsidRPr="00171918" w:rsidRDefault="00935970" w:rsidP="00171918">
            <w:pPr>
              <w:jc w:val="both"/>
            </w:pPr>
          </w:p>
        </w:tc>
        <w:tc>
          <w:tcPr>
            <w:tcW w:w="3697" w:type="dxa"/>
          </w:tcPr>
          <w:p w:rsidR="00935970" w:rsidRDefault="00083EA5" w:rsidP="00935970">
            <w:pPr>
              <w:jc w:val="both"/>
            </w:pPr>
            <w:r>
              <w:lastRenderedPageBreak/>
              <w:t>Принято в целом</w:t>
            </w:r>
          </w:p>
        </w:tc>
      </w:tr>
    </w:tbl>
    <w:p w:rsidR="00A23ABA" w:rsidRDefault="00A23ABA" w:rsidP="00FE2F8A">
      <w:pPr>
        <w:pStyle w:val="Default"/>
        <w:jc w:val="center"/>
      </w:pPr>
    </w:p>
    <w:sectPr w:rsidR="00A23ABA" w:rsidSect="00E330E6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31" w:rsidRDefault="003B5831" w:rsidP="007237E9">
      <w:pPr>
        <w:spacing w:after="0" w:line="240" w:lineRule="auto"/>
      </w:pPr>
      <w:r>
        <w:separator/>
      </w:r>
    </w:p>
  </w:endnote>
  <w:endnote w:type="continuationSeparator" w:id="0">
    <w:p w:rsidR="003B5831" w:rsidRDefault="003B5831" w:rsidP="0072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675"/>
      <w:docPartObj>
        <w:docPartGallery w:val="Page Numbers (Bottom of Page)"/>
        <w:docPartUnique/>
      </w:docPartObj>
    </w:sdtPr>
    <w:sdtContent>
      <w:p w:rsidR="007237E9" w:rsidRDefault="007237E9">
        <w:pPr>
          <w:pStyle w:val="a9"/>
          <w:jc w:val="center"/>
        </w:pPr>
        <w:fldSimple w:instr=" PAGE   \* MERGEFORMAT ">
          <w:r w:rsidR="00564DA0">
            <w:rPr>
              <w:noProof/>
            </w:rPr>
            <w:t>3</w:t>
          </w:r>
        </w:fldSimple>
      </w:p>
    </w:sdtContent>
  </w:sdt>
  <w:p w:rsidR="007237E9" w:rsidRDefault="007237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31" w:rsidRDefault="003B5831" w:rsidP="007237E9">
      <w:pPr>
        <w:spacing w:after="0" w:line="240" w:lineRule="auto"/>
      </w:pPr>
      <w:r>
        <w:separator/>
      </w:r>
    </w:p>
  </w:footnote>
  <w:footnote w:type="continuationSeparator" w:id="0">
    <w:p w:rsidR="003B5831" w:rsidRDefault="003B5831" w:rsidP="0072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E9" w:rsidRDefault="001C18D8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FCE682"/>
    <w:lvl w:ilvl="0">
      <w:numFmt w:val="bullet"/>
      <w:lvlText w:val="*"/>
      <w:lvlJc w:val="left"/>
    </w:lvl>
  </w:abstractNum>
  <w:abstractNum w:abstractNumId="1">
    <w:nsid w:val="1129137A"/>
    <w:multiLevelType w:val="hybridMultilevel"/>
    <w:tmpl w:val="EA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40F59"/>
    <w:multiLevelType w:val="hybridMultilevel"/>
    <w:tmpl w:val="E1B4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BA"/>
    <w:rsid w:val="0005077C"/>
    <w:rsid w:val="00052FF6"/>
    <w:rsid w:val="00064C0B"/>
    <w:rsid w:val="00083EA5"/>
    <w:rsid w:val="000869D9"/>
    <w:rsid w:val="000E6922"/>
    <w:rsid w:val="00114235"/>
    <w:rsid w:val="001212C2"/>
    <w:rsid w:val="0015300B"/>
    <w:rsid w:val="00171918"/>
    <w:rsid w:val="00190665"/>
    <w:rsid w:val="001B7C45"/>
    <w:rsid w:val="001C18D8"/>
    <w:rsid w:val="0021516C"/>
    <w:rsid w:val="002955DA"/>
    <w:rsid w:val="002A1719"/>
    <w:rsid w:val="00301E93"/>
    <w:rsid w:val="003B5831"/>
    <w:rsid w:val="003F1083"/>
    <w:rsid w:val="00420F46"/>
    <w:rsid w:val="00464E09"/>
    <w:rsid w:val="0046535C"/>
    <w:rsid w:val="004878B5"/>
    <w:rsid w:val="004B5CA3"/>
    <w:rsid w:val="004D1CE7"/>
    <w:rsid w:val="004D227E"/>
    <w:rsid w:val="004D6A9C"/>
    <w:rsid w:val="004E0561"/>
    <w:rsid w:val="00516948"/>
    <w:rsid w:val="00564DA0"/>
    <w:rsid w:val="00565BA1"/>
    <w:rsid w:val="005D4538"/>
    <w:rsid w:val="005F18A9"/>
    <w:rsid w:val="006A6048"/>
    <w:rsid w:val="006C2E07"/>
    <w:rsid w:val="007237E9"/>
    <w:rsid w:val="007D6205"/>
    <w:rsid w:val="008068AE"/>
    <w:rsid w:val="00814BBE"/>
    <w:rsid w:val="008B30B2"/>
    <w:rsid w:val="008C6AAC"/>
    <w:rsid w:val="008D684F"/>
    <w:rsid w:val="008E640B"/>
    <w:rsid w:val="00911EE7"/>
    <w:rsid w:val="00935970"/>
    <w:rsid w:val="00954B00"/>
    <w:rsid w:val="009D110A"/>
    <w:rsid w:val="009E47E2"/>
    <w:rsid w:val="00A23ABA"/>
    <w:rsid w:val="00B05830"/>
    <w:rsid w:val="00B260DC"/>
    <w:rsid w:val="00B7727C"/>
    <w:rsid w:val="00BA3A31"/>
    <w:rsid w:val="00BC7953"/>
    <w:rsid w:val="00C153B1"/>
    <w:rsid w:val="00CC1C02"/>
    <w:rsid w:val="00DE1FE7"/>
    <w:rsid w:val="00E05253"/>
    <w:rsid w:val="00E330E6"/>
    <w:rsid w:val="00E3454C"/>
    <w:rsid w:val="00E50684"/>
    <w:rsid w:val="00E53D7F"/>
    <w:rsid w:val="00E574E3"/>
    <w:rsid w:val="00EA1851"/>
    <w:rsid w:val="00EB59FA"/>
    <w:rsid w:val="00F5214F"/>
    <w:rsid w:val="00F9041F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2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9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5">
    <w:name w:val="Абзац списка Знак"/>
    <w:link w:val="a6"/>
    <w:uiPriority w:val="99"/>
    <w:locked/>
    <w:rsid w:val="00911EE7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99"/>
    <w:qFormat/>
    <w:rsid w:val="00911EE7"/>
    <w:pPr>
      <w:autoSpaceDN w:val="0"/>
      <w:ind w:left="720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2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7E9"/>
  </w:style>
  <w:style w:type="paragraph" w:styleId="a9">
    <w:name w:val="footer"/>
    <w:basedOn w:val="a"/>
    <w:link w:val="aa"/>
    <w:uiPriority w:val="99"/>
    <w:unhideWhenUsed/>
    <w:rsid w:val="0072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7E9"/>
  </w:style>
  <w:style w:type="paragraph" w:styleId="ab">
    <w:name w:val="Balloon Text"/>
    <w:basedOn w:val="a"/>
    <w:link w:val="ac"/>
    <w:uiPriority w:val="99"/>
    <w:semiHidden/>
    <w:unhideWhenUsed/>
    <w:rsid w:val="001C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monosov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syarova_tn</dc:creator>
  <cp:keywords/>
  <dc:description/>
  <cp:lastModifiedBy>syarova_tn</cp:lastModifiedBy>
  <cp:revision>10</cp:revision>
  <cp:lastPrinted>2016-03-28T06:50:00Z</cp:lastPrinted>
  <dcterms:created xsi:type="dcterms:W3CDTF">2016-03-23T10:03:00Z</dcterms:created>
  <dcterms:modified xsi:type="dcterms:W3CDTF">2016-03-28T07:31:00Z</dcterms:modified>
</cp:coreProperties>
</file>