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CB361A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Барсуковой Александре Николаевне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CB361A">
        <w:t>0905001:4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CB361A" w:rsidRPr="00CB361A">
        <w:rPr>
          <w:rFonts w:ascii="Times New Roman" w:hAnsi="Times New Roman" w:cs="Times New Roman"/>
          <w:color w:val="000000"/>
          <w:sz w:val="24"/>
          <w:szCs w:val="24"/>
        </w:rPr>
        <w:t>47:14:0905001:4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B361A">
        <w:rPr>
          <w:rFonts w:ascii="Times New Roman" w:hAnsi="Times New Roman" w:cs="Times New Roman"/>
          <w:color w:val="000000"/>
          <w:sz w:val="24"/>
          <w:szCs w:val="24"/>
        </w:rPr>
        <w:t>Барсукова</w:t>
      </w:r>
      <w:proofErr w:type="spellEnd"/>
      <w:r w:rsidR="00CB361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r w:rsidR="00CB361A">
        <w:rPr>
          <w:rFonts w:ascii="Times New Roman" w:hAnsi="Times New Roman" w:cs="Times New Roman"/>
          <w:color w:val="000000"/>
          <w:sz w:val="24"/>
          <w:szCs w:val="24"/>
        </w:rPr>
        <w:t>Барсуковой Александры Николаевны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 xml:space="preserve">о правообладателе земельного участка с кадастровым номером </w:t>
      </w:r>
      <w:r w:rsidR="00CB361A" w:rsidRPr="00CB361A">
        <w:rPr>
          <w:rFonts w:ascii="Times New Roman" w:hAnsi="Times New Roman" w:cs="Times New Roman"/>
          <w:iCs/>
          <w:sz w:val="24"/>
          <w:szCs w:val="24"/>
        </w:rPr>
        <w:t>47:14:0905001:4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57417"/>
    <w:rsid w:val="002D4485"/>
    <w:rsid w:val="0037664D"/>
    <w:rsid w:val="005F1574"/>
    <w:rsid w:val="00850504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2024-02-19T08:01:00Z</dcterms:created>
  <dcterms:modified xsi:type="dcterms:W3CDTF">2024-02-19T08:01:00Z</dcterms:modified>
</cp:coreProperties>
</file>